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8D83AD">
      <w:pPr>
        <w:pStyle w:val="243"/>
        <w:rPr>
          <w:rFonts w:ascii="Times New Roman" w:hAnsi="Times New Roman"/>
          <w:color w:val="auto"/>
          <w:highlight w:val="none"/>
        </w:rPr>
      </w:pPr>
    </w:p>
    <w:p w14:paraId="71014F5F">
      <w:pPr>
        <w:rPr>
          <w:color w:val="auto"/>
          <w:highlight w:val="none"/>
        </w:rPr>
      </w:pPr>
    </w:p>
    <w:p w14:paraId="5A4EF34F">
      <w:pPr>
        <w:rPr>
          <w:color w:val="auto"/>
          <w:highlight w:val="none"/>
        </w:rPr>
      </w:pPr>
    </w:p>
    <w:p w14:paraId="21D90B06">
      <w:pPr>
        <w:rPr>
          <w:color w:val="auto"/>
          <w:highlight w:val="none"/>
        </w:rPr>
      </w:pPr>
    </w:p>
    <w:p w14:paraId="1E88992F">
      <w:pPr>
        <w:overflowPunct w:val="0"/>
        <w:jc w:val="distribute"/>
        <w:rPr>
          <w:rFonts w:hint="eastAsia" w:ascii="宋体" w:hAnsi="宋体"/>
          <w:b/>
          <w:color w:val="auto"/>
          <w:sz w:val="72"/>
          <w:highlight w:val="none"/>
        </w:rPr>
      </w:pPr>
      <w:r>
        <w:rPr>
          <w:rFonts w:hint="eastAsia" w:ascii="宋体" w:hAnsi="宋体"/>
          <w:b/>
          <w:color w:val="auto"/>
          <w:sz w:val="72"/>
          <w:highlight w:val="none"/>
        </w:rPr>
        <w:t>苏州市吴江区政府采购</w:t>
      </w:r>
    </w:p>
    <w:p w14:paraId="796955CB">
      <w:pPr>
        <w:overflowPunct w:val="0"/>
        <w:rPr>
          <w:rFonts w:hint="eastAsia" w:ascii="宋体" w:hAnsi="宋体"/>
          <w:color w:val="auto"/>
          <w:highlight w:val="none"/>
        </w:rPr>
      </w:pPr>
    </w:p>
    <w:p w14:paraId="590D5603">
      <w:pPr>
        <w:overflowPunct w:val="0"/>
        <w:jc w:val="center"/>
        <w:rPr>
          <w:rFonts w:hint="eastAsia" w:ascii="宋体" w:hAnsi="宋体"/>
          <w:b/>
          <w:color w:val="auto"/>
          <w:sz w:val="72"/>
          <w:highlight w:val="none"/>
        </w:rPr>
      </w:pPr>
      <w:r>
        <w:rPr>
          <w:rFonts w:hint="eastAsia" w:ascii="宋体" w:hAnsi="宋体"/>
          <w:b/>
          <w:color w:val="auto"/>
          <w:sz w:val="72"/>
          <w:highlight w:val="none"/>
        </w:rPr>
        <w:t>招 标 文 件</w:t>
      </w:r>
    </w:p>
    <w:p w14:paraId="6FA9A84C">
      <w:pPr>
        <w:spacing w:line="360" w:lineRule="auto"/>
        <w:jc w:val="center"/>
        <w:rPr>
          <w:color w:val="auto"/>
          <w:highlight w:val="none"/>
        </w:rPr>
      </w:pPr>
    </w:p>
    <w:p w14:paraId="5AAA6B70">
      <w:pPr>
        <w:spacing w:line="360" w:lineRule="auto"/>
        <w:jc w:val="center"/>
        <w:rPr>
          <w:color w:val="auto"/>
          <w:highlight w:val="none"/>
        </w:rPr>
      </w:pPr>
    </w:p>
    <w:p w14:paraId="56E87D08">
      <w:pPr>
        <w:pStyle w:val="247"/>
        <w:rPr>
          <w:rFonts w:ascii="Times New Roman" w:hAnsi="Times New Roman"/>
          <w:color w:val="auto"/>
          <w:highlight w:val="none"/>
        </w:rPr>
      </w:pPr>
    </w:p>
    <w:p w14:paraId="3011717A">
      <w:pPr>
        <w:spacing w:line="360" w:lineRule="auto"/>
        <w:jc w:val="center"/>
        <w:rPr>
          <w:color w:val="auto"/>
          <w:highlight w:val="none"/>
        </w:rPr>
      </w:pPr>
    </w:p>
    <w:p w14:paraId="283B196F">
      <w:pPr>
        <w:spacing w:line="360" w:lineRule="auto"/>
        <w:ind w:left="840"/>
        <w:rPr>
          <w:color w:val="auto"/>
          <w:highlight w:val="none"/>
        </w:rPr>
      </w:pPr>
    </w:p>
    <w:p w14:paraId="7E4B6F11">
      <w:pPr>
        <w:spacing w:line="360" w:lineRule="auto"/>
        <w:ind w:left="840"/>
        <w:rPr>
          <w:b/>
          <w:color w:val="auto"/>
          <w:sz w:val="32"/>
          <w:highlight w:val="none"/>
        </w:rPr>
      </w:pPr>
      <w:r>
        <w:rPr>
          <w:b/>
          <w:color w:val="auto"/>
          <w:sz w:val="32"/>
          <w:highlight w:val="none"/>
        </w:rPr>
        <w:t>采购编号：</w:t>
      </w:r>
      <w:r>
        <w:rPr>
          <w:rFonts w:hint="eastAsia"/>
          <w:b/>
          <w:color w:val="auto"/>
          <w:sz w:val="32"/>
          <w:highlight w:val="none"/>
        </w:rPr>
        <w:t>JSZC-320509-DLZB-G2025-0046</w:t>
      </w:r>
    </w:p>
    <w:p w14:paraId="2EF0E4C6">
      <w:pPr>
        <w:spacing w:line="360" w:lineRule="auto"/>
        <w:ind w:left="840"/>
        <w:rPr>
          <w:b/>
          <w:color w:val="auto"/>
          <w:sz w:val="32"/>
          <w:highlight w:val="none"/>
        </w:rPr>
      </w:pPr>
      <w:r>
        <w:rPr>
          <w:b/>
          <w:color w:val="auto"/>
          <w:sz w:val="32"/>
          <w:highlight w:val="none"/>
        </w:rPr>
        <w:t>采购项目：</w:t>
      </w:r>
      <w:r>
        <w:rPr>
          <w:rFonts w:hint="eastAsia" w:ascii="宋体" w:hAnsi="宋体" w:cs="宋体"/>
          <w:b/>
          <w:color w:val="auto"/>
          <w:sz w:val="32"/>
          <w:highlight w:val="none"/>
        </w:rPr>
        <w:t>苏州市吴江区精神康复医院医疗辅助服务</w:t>
      </w:r>
    </w:p>
    <w:p w14:paraId="6A8554AC">
      <w:pPr>
        <w:spacing w:line="360" w:lineRule="auto"/>
        <w:ind w:left="2527" w:hanging="1687"/>
        <w:rPr>
          <w:b/>
          <w:color w:val="auto"/>
          <w:sz w:val="32"/>
          <w:highlight w:val="none"/>
        </w:rPr>
      </w:pPr>
      <w:r>
        <w:rPr>
          <w:b/>
          <w:color w:val="auto"/>
          <w:sz w:val="32"/>
          <w:highlight w:val="none"/>
        </w:rPr>
        <w:t>采购单位：</w:t>
      </w:r>
      <w:r>
        <w:rPr>
          <w:rFonts w:hint="eastAsia" w:ascii="宋体" w:hAnsi="宋体" w:cs="宋体"/>
          <w:b/>
          <w:color w:val="auto"/>
          <w:sz w:val="32"/>
          <w:highlight w:val="none"/>
        </w:rPr>
        <w:t xml:space="preserve">苏州市吴江区精神康复医院 </w:t>
      </w:r>
    </w:p>
    <w:p w14:paraId="180E3509">
      <w:pPr>
        <w:spacing w:line="360" w:lineRule="auto"/>
        <w:ind w:left="840"/>
        <w:rPr>
          <w:b/>
          <w:color w:val="auto"/>
          <w:sz w:val="32"/>
          <w:highlight w:val="none"/>
        </w:rPr>
      </w:pPr>
      <w:r>
        <w:rPr>
          <w:b/>
          <w:color w:val="auto"/>
          <w:sz w:val="32"/>
          <w:highlight w:val="none"/>
        </w:rPr>
        <w:t>采购类别：服务类</w:t>
      </w:r>
    </w:p>
    <w:p w14:paraId="741558FB">
      <w:pPr>
        <w:spacing w:line="360" w:lineRule="auto"/>
        <w:rPr>
          <w:b/>
          <w:color w:val="auto"/>
          <w:sz w:val="32"/>
          <w:highlight w:val="none"/>
        </w:rPr>
      </w:pPr>
      <w:r>
        <w:rPr>
          <w:b/>
          <w:color w:val="auto"/>
          <w:sz w:val="32"/>
          <w:highlight w:val="none"/>
        </w:rPr>
        <w:t xml:space="preserve">                    </w:t>
      </w:r>
    </w:p>
    <w:p w14:paraId="720396A8">
      <w:pPr>
        <w:spacing w:line="360" w:lineRule="auto"/>
        <w:jc w:val="center"/>
        <w:rPr>
          <w:color w:val="auto"/>
          <w:highlight w:val="none"/>
        </w:rPr>
      </w:pPr>
    </w:p>
    <w:p w14:paraId="0EB7A671">
      <w:pPr>
        <w:pStyle w:val="53"/>
        <w:rPr>
          <w:rFonts w:ascii="Times New Roman"/>
          <w:color w:val="auto"/>
          <w:sz w:val="24"/>
          <w:highlight w:val="none"/>
        </w:rPr>
      </w:pPr>
    </w:p>
    <w:p w14:paraId="3678F6D2">
      <w:pPr>
        <w:rPr>
          <w:color w:val="auto"/>
          <w:sz w:val="24"/>
          <w:highlight w:val="none"/>
        </w:rPr>
      </w:pPr>
    </w:p>
    <w:p w14:paraId="59A1B1DA">
      <w:pPr>
        <w:rPr>
          <w:color w:val="auto"/>
          <w:sz w:val="24"/>
          <w:highlight w:val="none"/>
        </w:rPr>
      </w:pPr>
    </w:p>
    <w:p w14:paraId="2B30D0B0">
      <w:pPr>
        <w:pStyle w:val="53"/>
        <w:rPr>
          <w:rFonts w:ascii="Times New Roman"/>
          <w:color w:val="auto"/>
          <w:sz w:val="24"/>
          <w:highlight w:val="none"/>
        </w:rPr>
      </w:pPr>
    </w:p>
    <w:p w14:paraId="0AC2B746">
      <w:pPr>
        <w:spacing w:line="360" w:lineRule="auto"/>
        <w:rPr>
          <w:b/>
          <w:color w:val="auto"/>
          <w:highlight w:val="none"/>
        </w:rPr>
      </w:pPr>
    </w:p>
    <w:p w14:paraId="6AFDA8E8">
      <w:pPr>
        <w:spacing w:line="360" w:lineRule="auto"/>
        <w:jc w:val="center"/>
        <w:rPr>
          <w:b/>
          <w:color w:val="auto"/>
          <w:sz w:val="32"/>
          <w:highlight w:val="none"/>
        </w:rPr>
      </w:pPr>
      <w:r>
        <w:rPr>
          <w:b/>
          <w:color w:val="auto"/>
          <w:sz w:val="32"/>
          <w:highlight w:val="none"/>
        </w:rPr>
        <w:t>苏州鼎力招投标咨询服务有限公司</w:t>
      </w:r>
    </w:p>
    <w:p w14:paraId="2045BA21">
      <w:pPr>
        <w:spacing w:line="360" w:lineRule="auto"/>
        <w:jc w:val="center"/>
        <w:rPr>
          <w:b/>
          <w:color w:val="auto"/>
          <w:sz w:val="32"/>
          <w:highlight w:val="none"/>
        </w:rPr>
      </w:pPr>
      <w:r>
        <w:rPr>
          <w:rFonts w:hint="eastAsia"/>
          <w:b/>
          <w:color w:val="auto"/>
          <w:sz w:val="32"/>
          <w:highlight w:val="none"/>
        </w:rPr>
        <w:t>2025</w:t>
      </w:r>
      <w:r>
        <w:rPr>
          <w:b/>
          <w:color w:val="auto"/>
          <w:sz w:val="32"/>
          <w:highlight w:val="none"/>
        </w:rPr>
        <w:t>年</w:t>
      </w:r>
      <w:r>
        <w:rPr>
          <w:rFonts w:hint="eastAsia"/>
          <w:b/>
          <w:color w:val="auto"/>
          <w:sz w:val="32"/>
          <w:highlight w:val="none"/>
        </w:rPr>
        <w:t>11</w:t>
      </w:r>
      <w:r>
        <w:rPr>
          <w:b/>
          <w:color w:val="auto"/>
          <w:sz w:val="32"/>
          <w:highlight w:val="none"/>
        </w:rPr>
        <w:t>月</w:t>
      </w:r>
    </w:p>
    <w:p w14:paraId="2E02428E">
      <w:pPr>
        <w:rPr>
          <w:b/>
          <w:color w:val="auto"/>
          <w:sz w:val="52"/>
          <w:highlight w:val="none"/>
        </w:rPr>
      </w:pPr>
    </w:p>
    <w:p w14:paraId="27C00EC4">
      <w:pPr>
        <w:spacing w:line="480" w:lineRule="auto"/>
        <w:jc w:val="center"/>
        <w:rPr>
          <w:b/>
          <w:color w:val="auto"/>
          <w:sz w:val="36"/>
          <w:highlight w:val="none"/>
        </w:rPr>
      </w:pPr>
      <w:r>
        <w:rPr>
          <w:b/>
          <w:color w:val="auto"/>
          <w:sz w:val="36"/>
          <w:highlight w:val="none"/>
        </w:rPr>
        <w:br w:type="page" w:clear="all"/>
      </w:r>
      <w:r>
        <w:rPr>
          <w:b/>
          <w:color w:val="auto"/>
          <w:sz w:val="36"/>
          <w:highlight w:val="none"/>
        </w:rPr>
        <w:t>前附表</w:t>
      </w:r>
    </w:p>
    <w:p w14:paraId="0E032C21">
      <w:pPr>
        <w:pStyle w:val="202"/>
        <w:rPr>
          <w:color w:val="auto"/>
          <w:highlight w:val="none"/>
        </w:rPr>
      </w:pP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2081"/>
        <w:gridCol w:w="5497"/>
      </w:tblGrid>
      <w:tr w14:paraId="43ED3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vAlign w:val="center"/>
          </w:tcPr>
          <w:p w14:paraId="2AC0A6EF">
            <w:pPr>
              <w:jc w:val="center"/>
              <w:rPr>
                <w:rFonts w:hint="eastAsia" w:ascii="宋体" w:hAnsi="宋体" w:cs="宋体"/>
                <w:b/>
                <w:color w:val="auto"/>
                <w:szCs w:val="21"/>
                <w:highlight w:val="none"/>
              </w:rPr>
            </w:pPr>
            <w:r>
              <w:rPr>
                <w:rFonts w:hint="eastAsia" w:ascii="宋体" w:hAnsi="宋体" w:cs="宋体"/>
                <w:bCs/>
                <w:color w:val="auto"/>
                <w:szCs w:val="21"/>
                <w:highlight w:val="none"/>
              </w:rPr>
              <w:t>序号</w:t>
            </w:r>
          </w:p>
        </w:tc>
        <w:tc>
          <w:tcPr>
            <w:tcW w:w="2081" w:type="dxa"/>
            <w:tcBorders>
              <w:top w:val="single" w:color="auto" w:sz="4" w:space="0"/>
              <w:left w:val="single" w:color="auto" w:sz="4" w:space="0"/>
              <w:bottom w:val="single" w:color="auto" w:sz="4" w:space="0"/>
              <w:right w:val="single" w:color="auto" w:sz="4" w:space="0"/>
            </w:tcBorders>
            <w:vAlign w:val="center"/>
          </w:tcPr>
          <w:p w14:paraId="3BD0FA76">
            <w:pPr>
              <w:jc w:val="center"/>
              <w:rPr>
                <w:rFonts w:hint="eastAsia" w:ascii="宋体" w:hAnsi="宋体" w:cs="宋体"/>
                <w:bCs/>
                <w:color w:val="auto"/>
                <w:szCs w:val="21"/>
                <w:highlight w:val="none"/>
              </w:rPr>
            </w:pPr>
            <w:r>
              <w:rPr>
                <w:rFonts w:hint="eastAsia" w:ascii="宋体" w:hAnsi="宋体" w:cs="宋体"/>
                <w:bCs/>
                <w:color w:val="auto"/>
                <w:szCs w:val="21"/>
                <w:highlight w:val="none"/>
              </w:rPr>
              <w:t>项   目</w:t>
            </w:r>
          </w:p>
        </w:tc>
        <w:tc>
          <w:tcPr>
            <w:tcW w:w="5497" w:type="dxa"/>
            <w:tcBorders>
              <w:top w:val="single" w:color="auto" w:sz="4" w:space="0"/>
              <w:left w:val="single" w:color="auto" w:sz="4" w:space="0"/>
              <w:bottom w:val="single" w:color="auto" w:sz="4" w:space="0"/>
              <w:right w:val="single" w:color="auto" w:sz="4" w:space="0"/>
            </w:tcBorders>
            <w:vAlign w:val="center"/>
          </w:tcPr>
          <w:p w14:paraId="5B256053">
            <w:pPr>
              <w:jc w:val="center"/>
              <w:rPr>
                <w:rFonts w:hint="eastAsia" w:ascii="宋体" w:hAnsi="宋体" w:cs="宋体"/>
                <w:bCs/>
                <w:color w:val="auto"/>
                <w:szCs w:val="21"/>
                <w:highlight w:val="none"/>
              </w:rPr>
            </w:pPr>
            <w:r>
              <w:rPr>
                <w:rFonts w:hint="eastAsia" w:ascii="宋体" w:hAnsi="宋体" w:cs="宋体"/>
                <w:bCs/>
                <w:color w:val="auto"/>
                <w:szCs w:val="21"/>
                <w:highlight w:val="none"/>
              </w:rPr>
              <w:t>内     容</w:t>
            </w:r>
          </w:p>
        </w:tc>
      </w:tr>
      <w:tr w14:paraId="7F8C5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vAlign w:val="center"/>
          </w:tcPr>
          <w:p w14:paraId="7ECC6BC9">
            <w:pPr>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2081" w:type="dxa"/>
            <w:tcBorders>
              <w:top w:val="single" w:color="auto" w:sz="4" w:space="0"/>
              <w:left w:val="single" w:color="auto" w:sz="4" w:space="0"/>
              <w:bottom w:val="single" w:color="auto" w:sz="4" w:space="0"/>
              <w:right w:val="single" w:color="auto" w:sz="4" w:space="0"/>
            </w:tcBorders>
            <w:vAlign w:val="center"/>
          </w:tcPr>
          <w:p w14:paraId="034FE859">
            <w:pPr>
              <w:jc w:val="center"/>
              <w:rPr>
                <w:rFonts w:hint="eastAsia" w:ascii="宋体" w:hAnsi="宋体" w:cs="宋体"/>
                <w:color w:val="auto"/>
                <w:szCs w:val="21"/>
                <w:highlight w:val="none"/>
              </w:rPr>
            </w:pPr>
            <w:r>
              <w:rPr>
                <w:rFonts w:hint="eastAsia" w:ascii="宋体" w:hAnsi="宋体" w:cs="宋体"/>
                <w:color w:val="auto"/>
                <w:szCs w:val="21"/>
                <w:highlight w:val="none"/>
              </w:rPr>
              <w:t>项目编号</w:t>
            </w:r>
          </w:p>
        </w:tc>
        <w:tc>
          <w:tcPr>
            <w:tcW w:w="5497" w:type="dxa"/>
            <w:tcBorders>
              <w:top w:val="single" w:color="auto" w:sz="4" w:space="0"/>
              <w:left w:val="single" w:color="auto" w:sz="4" w:space="0"/>
              <w:bottom w:val="single" w:color="auto" w:sz="4" w:space="0"/>
              <w:right w:val="single" w:color="auto" w:sz="4" w:space="0"/>
            </w:tcBorders>
            <w:vAlign w:val="center"/>
          </w:tcPr>
          <w:p w14:paraId="2B914838">
            <w:pPr>
              <w:jc w:val="left"/>
              <w:rPr>
                <w:rFonts w:hint="eastAsia" w:ascii="宋体" w:hAnsi="宋体" w:cs="宋体"/>
                <w:color w:val="auto"/>
                <w:szCs w:val="21"/>
                <w:highlight w:val="none"/>
              </w:rPr>
            </w:pPr>
            <w:r>
              <w:rPr>
                <w:rFonts w:hint="eastAsia" w:ascii="宋体" w:hAnsi="宋体" w:cs="宋体"/>
                <w:color w:val="auto"/>
                <w:szCs w:val="21"/>
                <w:highlight w:val="none"/>
              </w:rPr>
              <w:t>JSZC-320509-DLZB-G2025-0046</w:t>
            </w:r>
          </w:p>
        </w:tc>
      </w:tr>
      <w:tr w14:paraId="560D6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vAlign w:val="center"/>
          </w:tcPr>
          <w:p w14:paraId="458FC066">
            <w:pPr>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2081" w:type="dxa"/>
            <w:tcBorders>
              <w:top w:val="single" w:color="auto" w:sz="4" w:space="0"/>
              <w:left w:val="single" w:color="auto" w:sz="4" w:space="0"/>
              <w:bottom w:val="single" w:color="auto" w:sz="4" w:space="0"/>
              <w:right w:val="single" w:color="auto" w:sz="4" w:space="0"/>
            </w:tcBorders>
            <w:vAlign w:val="center"/>
          </w:tcPr>
          <w:p w14:paraId="36D4EAFD">
            <w:pPr>
              <w:jc w:val="center"/>
              <w:rPr>
                <w:rFonts w:hint="eastAsia" w:ascii="宋体" w:hAnsi="宋体" w:cs="宋体"/>
                <w:color w:val="auto"/>
                <w:szCs w:val="21"/>
                <w:highlight w:val="none"/>
              </w:rPr>
            </w:pPr>
            <w:r>
              <w:rPr>
                <w:rFonts w:hint="eastAsia" w:ascii="宋体" w:hAnsi="宋体" w:cs="宋体"/>
                <w:color w:val="auto"/>
                <w:szCs w:val="21"/>
                <w:highlight w:val="none"/>
              </w:rPr>
              <w:t>项目名称</w:t>
            </w:r>
          </w:p>
        </w:tc>
        <w:tc>
          <w:tcPr>
            <w:tcW w:w="5497" w:type="dxa"/>
            <w:tcBorders>
              <w:top w:val="single" w:color="auto" w:sz="4" w:space="0"/>
              <w:left w:val="single" w:color="auto" w:sz="4" w:space="0"/>
              <w:bottom w:val="single" w:color="auto" w:sz="4" w:space="0"/>
              <w:right w:val="single" w:color="auto" w:sz="4" w:space="0"/>
            </w:tcBorders>
            <w:vAlign w:val="center"/>
          </w:tcPr>
          <w:p w14:paraId="2147AEE6">
            <w:pPr>
              <w:jc w:val="left"/>
              <w:rPr>
                <w:rFonts w:hint="eastAsia" w:ascii="宋体" w:hAnsi="宋体" w:cs="宋体"/>
                <w:color w:val="auto"/>
                <w:szCs w:val="21"/>
                <w:highlight w:val="none"/>
              </w:rPr>
            </w:pPr>
            <w:r>
              <w:rPr>
                <w:rFonts w:hint="eastAsia" w:ascii="宋体" w:hAnsi="宋体" w:cs="宋体"/>
                <w:color w:val="auto"/>
                <w:szCs w:val="21"/>
                <w:highlight w:val="none"/>
              </w:rPr>
              <w:t>苏州市吴江区精神康复医院医疗辅助服务</w:t>
            </w:r>
          </w:p>
        </w:tc>
      </w:tr>
      <w:tr w14:paraId="48B15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vAlign w:val="center"/>
          </w:tcPr>
          <w:p w14:paraId="5C8967F8">
            <w:pPr>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2081" w:type="dxa"/>
            <w:tcBorders>
              <w:top w:val="single" w:color="auto" w:sz="4" w:space="0"/>
              <w:left w:val="single" w:color="auto" w:sz="4" w:space="0"/>
              <w:bottom w:val="single" w:color="auto" w:sz="4" w:space="0"/>
              <w:right w:val="single" w:color="auto" w:sz="4" w:space="0"/>
            </w:tcBorders>
            <w:vAlign w:val="center"/>
          </w:tcPr>
          <w:p w14:paraId="1E668A82">
            <w:pPr>
              <w:jc w:val="center"/>
              <w:rPr>
                <w:rFonts w:hint="eastAsia" w:ascii="宋体" w:hAnsi="宋体" w:cs="宋体"/>
                <w:color w:val="auto"/>
                <w:szCs w:val="21"/>
                <w:highlight w:val="none"/>
              </w:rPr>
            </w:pPr>
            <w:r>
              <w:rPr>
                <w:rFonts w:hint="eastAsia" w:ascii="宋体" w:hAnsi="宋体" w:cs="宋体"/>
                <w:color w:val="auto"/>
                <w:szCs w:val="21"/>
                <w:highlight w:val="none"/>
              </w:rPr>
              <w:t>采购预算（元）</w:t>
            </w:r>
          </w:p>
        </w:tc>
        <w:tc>
          <w:tcPr>
            <w:tcW w:w="5497" w:type="dxa"/>
            <w:tcBorders>
              <w:top w:val="single" w:color="auto" w:sz="4" w:space="0"/>
              <w:left w:val="single" w:color="auto" w:sz="4" w:space="0"/>
              <w:bottom w:val="single" w:color="auto" w:sz="4" w:space="0"/>
              <w:right w:val="single" w:color="auto" w:sz="4" w:space="0"/>
            </w:tcBorders>
            <w:vAlign w:val="center"/>
          </w:tcPr>
          <w:p w14:paraId="5EDC68E7">
            <w:pPr>
              <w:jc w:val="left"/>
              <w:rPr>
                <w:rFonts w:hint="eastAsia" w:ascii="宋体" w:hAnsi="宋体" w:cs="宋体"/>
                <w:color w:val="auto"/>
                <w:szCs w:val="21"/>
                <w:highlight w:val="none"/>
              </w:rPr>
            </w:pPr>
            <w:r>
              <w:rPr>
                <w:rFonts w:hint="eastAsia" w:ascii="宋体" w:hAnsi="宋体" w:cs="宋体"/>
                <w:color w:val="auto"/>
                <w:szCs w:val="21"/>
                <w:highlight w:val="none"/>
              </w:rPr>
              <w:t>人民币伍佰玖拾贰万元整（小写：5920000.00元）</w:t>
            </w:r>
          </w:p>
        </w:tc>
      </w:tr>
      <w:tr w14:paraId="61F54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vAlign w:val="center"/>
          </w:tcPr>
          <w:p w14:paraId="558868E3">
            <w:pPr>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2081" w:type="dxa"/>
            <w:tcBorders>
              <w:top w:val="single" w:color="auto" w:sz="4" w:space="0"/>
              <w:left w:val="single" w:color="auto" w:sz="4" w:space="0"/>
              <w:bottom w:val="single" w:color="auto" w:sz="4" w:space="0"/>
              <w:right w:val="single" w:color="auto" w:sz="4" w:space="0"/>
            </w:tcBorders>
            <w:vAlign w:val="center"/>
          </w:tcPr>
          <w:p w14:paraId="6D2CA09B">
            <w:pPr>
              <w:jc w:val="center"/>
              <w:rPr>
                <w:rFonts w:hint="eastAsia" w:ascii="宋体" w:hAnsi="宋体" w:cs="宋体"/>
                <w:color w:val="auto"/>
                <w:szCs w:val="21"/>
                <w:highlight w:val="none"/>
              </w:rPr>
            </w:pPr>
            <w:r>
              <w:rPr>
                <w:rFonts w:hint="eastAsia" w:ascii="宋体" w:hAnsi="宋体" w:cs="宋体"/>
                <w:color w:val="auto"/>
                <w:szCs w:val="21"/>
                <w:highlight w:val="none"/>
              </w:rPr>
              <w:t>联合体投标</w:t>
            </w:r>
          </w:p>
        </w:tc>
        <w:tc>
          <w:tcPr>
            <w:tcW w:w="5497" w:type="dxa"/>
            <w:tcBorders>
              <w:top w:val="single" w:color="auto" w:sz="4" w:space="0"/>
              <w:left w:val="single" w:color="auto" w:sz="4" w:space="0"/>
              <w:bottom w:val="single" w:color="auto" w:sz="4" w:space="0"/>
              <w:right w:val="single" w:color="auto" w:sz="4" w:space="0"/>
            </w:tcBorders>
            <w:vAlign w:val="center"/>
          </w:tcPr>
          <w:p w14:paraId="641A59D6">
            <w:pPr>
              <w:jc w:val="left"/>
              <w:rPr>
                <w:rFonts w:hint="eastAsia" w:ascii="宋体" w:hAnsi="宋体" w:cs="宋体"/>
                <w:color w:val="auto"/>
                <w:szCs w:val="21"/>
                <w:highlight w:val="none"/>
              </w:rPr>
            </w:pPr>
            <w:r>
              <w:rPr>
                <w:rFonts w:hint="eastAsia" w:ascii="宋体" w:hAnsi="宋体" w:cs="宋体"/>
                <w:color w:val="auto"/>
                <w:szCs w:val="21"/>
                <w:highlight w:val="none"/>
              </w:rPr>
              <w:t>不接受</w:t>
            </w:r>
          </w:p>
        </w:tc>
      </w:tr>
      <w:tr w14:paraId="2DED4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vAlign w:val="center"/>
          </w:tcPr>
          <w:p w14:paraId="19A15B75">
            <w:pPr>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081" w:type="dxa"/>
            <w:tcBorders>
              <w:top w:val="single" w:color="auto" w:sz="4" w:space="0"/>
              <w:left w:val="single" w:color="auto" w:sz="4" w:space="0"/>
              <w:bottom w:val="single" w:color="auto" w:sz="4" w:space="0"/>
              <w:right w:val="single" w:color="auto" w:sz="4" w:space="0"/>
            </w:tcBorders>
            <w:vAlign w:val="center"/>
          </w:tcPr>
          <w:p w14:paraId="5E3E5A1D">
            <w:pPr>
              <w:jc w:val="center"/>
              <w:rPr>
                <w:rFonts w:hint="eastAsia" w:ascii="宋体" w:hAnsi="宋体" w:cs="宋体"/>
                <w:color w:val="auto"/>
                <w:szCs w:val="21"/>
                <w:highlight w:val="none"/>
              </w:rPr>
            </w:pPr>
            <w:r>
              <w:rPr>
                <w:rFonts w:hint="eastAsia" w:ascii="宋体" w:hAnsi="宋体" w:cs="宋体"/>
                <w:color w:val="auto"/>
                <w:szCs w:val="21"/>
                <w:highlight w:val="none"/>
              </w:rPr>
              <w:t>现场勘察</w:t>
            </w:r>
          </w:p>
        </w:tc>
        <w:tc>
          <w:tcPr>
            <w:tcW w:w="5497" w:type="dxa"/>
            <w:tcBorders>
              <w:top w:val="single" w:color="auto" w:sz="4" w:space="0"/>
              <w:left w:val="single" w:color="auto" w:sz="4" w:space="0"/>
              <w:bottom w:val="single" w:color="auto" w:sz="4" w:space="0"/>
              <w:right w:val="single" w:color="auto" w:sz="4" w:space="0"/>
            </w:tcBorders>
            <w:vAlign w:val="center"/>
          </w:tcPr>
          <w:p w14:paraId="1913F6BC">
            <w:pPr>
              <w:jc w:val="left"/>
              <w:rPr>
                <w:rFonts w:hint="eastAsia" w:ascii="宋体" w:hAnsi="宋体" w:cs="宋体"/>
                <w:color w:val="auto"/>
                <w:szCs w:val="21"/>
                <w:highlight w:val="none"/>
              </w:rPr>
            </w:pPr>
            <w:r>
              <w:rPr>
                <w:rFonts w:hint="eastAsia" w:ascii="宋体" w:hAnsi="宋体" w:cs="宋体"/>
                <w:color w:val="auto"/>
                <w:szCs w:val="21"/>
                <w:highlight w:val="none"/>
              </w:rPr>
              <w:t>无</w:t>
            </w:r>
          </w:p>
        </w:tc>
      </w:tr>
      <w:tr w14:paraId="139B0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vAlign w:val="center"/>
          </w:tcPr>
          <w:p w14:paraId="03111377">
            <w:pPr>
              <w:jc w:val="center"/>
              <w:rPr>
                <w:rFonts w:hint="eastAsia" w:ascii="宋体" w:hAnsi="宋体" w:cs="宋体"/>
                <w:color w:val="auto"/>
                <w:szCs w:val="21"/>
                <w:highlight w:val="none"/>
              </w:rPr>
            </w:pPr>
            <w:r>
              <w:rPr>
                <w:rFonts w:hint="eastAsia" w:ascii="宋体" w:hAnsi="宋体" w:cs="宋体"/>
                <w:color w:val="auto"/>
                <w:szCs w:val="21"/>
                <w:highlight w:val="none"/>
              </w:rPr>
              <w:t>6</w:t>
            </w:r>
          </w:p>
        </w:tc>
        <w:tc>
          <w:tcPr>
            <w:tcW w:w="2081" w:type="dxa"/>
            <w:tcBorders>
              <w:top w:val="single" w:color="auto" w:sz="4" w:space="0"/>
              <w:left w:val="single" w:color="auto" w:sz="4" w:space="0"/>
              <w:bottom w:val="single" w:color="auto" w:sz="4" w:space="0"/>
              <w:right w:val="single" w:color="auto" w:sz="4" w:space="0"/>
            </w:tcBorders>
            <w:vAlign w:val="center"/>
          </w:tcPr>
          <w:p w14:paraId="41247327">
            <w:pPr>
              <w:jc w:val="center"/>
              <w:rPr>
                <w:rFonts w:hint="eastAsia" w:ascii="宋体" w:hAnsi="宋体" w:cs="宋体"/>
                <w:color w:val="auto"/>
                <w:szCs w:val="21"/>
                <w:highlight w:val="none"/>
              </w:rPr>
            </w:pPr>
            <w:r>
              <w:rPr>
                <w:rFonts w:hint="eastAsia" w:ascii="宋体" w:hAnsi="宋体" w:cs="宋体"/>
                <w:color w:val="auto"/>
                <w:szCs w:val="21"/>
                <w:highlight w:val="none"/>
              </w:rPr>
              <w:t>投标答疑会</w:t>
            </w:r>
          </w:p>
        </w:tc>
        <w:tc>
          <w:tcPr>
            <w:tcW w:w="5497" w:type="dxa"/>
            <w:tcBorders>
              <w:top w:val="single" w:color="auto" w:sz="4" w:space="0"/>
              <w:left w:val="single" w:color="auto" w:sz="4" w:space="0"/>
              <w:bottom w:val="single" w:color="auto" w:sz="4" w:space="0"/>
              <w:right w:val="single" w:color="auto" w:sz="4" w:space="0"/>
            </w:tcBorders>
            <w:vAlign w:val="center"/>
          </w:tcPr>
          <w:p w14:paraId="2E627E7B">
            <w:pPr>
              <w:jc w:val="left"/>
              <w:rPr>
                <w:rFonts w:hint="eastAsia" w:ascii="宋体" w:hAnsi="宋体" w:cs="宋体"/>
                <w:color w:val="auto"/>
                <w:szCs w:val="21"/>
                <w:highlight w:val="none"/>
              </w:rPr>
            </w:pPr>
            <w:r>
              <w:rPr>
                <w:rFonts w:hint="eastAsia" w:ascii="宋体" w:hAnsi="宋体" w:cs="宋体"/>
                <w:color w:val="auto"/>
                <w:szCs w:val="21"/>
                <w:highlight w:val="none"/>
              </w:rPr>
              <w:t>网上答疑</w:t>
            </w:r>
          </w:p>
        </w:tc>
      </w:tr>
      <w:tr w14:paraId="78CAC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805" w:type="dxa"/>
            <w:tcBorders>
              <w:top w:val="single" w:color="auto" w:sz="4" w:space="0"/>
              <w:left w:val="single" w:color="auto" w:sz="4" w:space="0"/>
              <w:bottom w:val="single" w:color="auto" w:sz="4" w:space="0"/>
              <w:right w:val="single" w:color="auto" w:sz="4" w:space="0"/>
            </w:tcBorders>
            <w:vAlign w:val="center"/>
          </w:tcPr>
          <w:p w14:paraId="3C80B3C3">
            <w:pPr>
              <w:jc w:val="center"/>
              <w:rPr>
                <w:rFonts w:hint="eastAsia" w:ascii="宋体" w:hAnsi="宋体" w:cs="宋体"/>
                <w:color w:val="auto"/>
                <w:szCs w:val="21"/>
                <w:highlight w:val="none"/>
              </w:rPr>
            </w:pPr>
            <w:r>
              <w:rPr>
                <w:rFonts w:hint="eastAsia" w:ascii="宋体" w:hAnsi="宋体" w:cs="宋体"/>
                <w:color w:val="auto"/>
                <w:szCs w:val="21"/>
                <w:highlight w:val="none"/>
              </w:rPr>
              <w:t>7</w:t>
            </w:r>
          </w:p>
        </w:tc>
        <w:tc>
          <w:tcPr>
            <w:tcW w:w="2081" w:type="dxa"/>
            <w:tcBorders>
              <w:top w:val="single" w:color="auto" w:sz="4" w:space="0"/>
              <w:left w:val="single" w:color="auto" w:sz="4" w:space="0"/>
              <w:bottom w:val="single" w:color="auto" w:sz="4" w:space="0"/>
              <w:right w:val="single" w:color="auto" w:sz="4" w:space="0"/>
            </w:tcBorders>
            <w:vAlign w:val="center"/>
          </w:tcPr>
          <w:p w14:paraId="307D03E0">
            <w:pPr>
              <w:jc w:val="center"/>
              <w:rPr>
                <w:rFonts w:hint="eastAsia" w:ascii="宋体" w:hAnsi="宋体" w:cs="宋体"/>
                <w:color w:val="auto"/>
                <w:szCs w:val="21"/>
                <w:highlight w:val="none"/>
              </w:rPr>
            </w:pPr>
            <w:r>
              <w:rPr>
                <w:rFonts w:hint="eastAsia" w:ascii="宋体" w:hAnsi="宋体" w:cs="宋体"/>
                <w:color w:val="auto"/>
                <w:szCs w:val="21"/>
                <w:highlight w:val="none"/>
              </w:rPr>
              <w:t>响应文件份数</w:t>
            </w:r>
          </w:p>
        </w:tc>
        <w:tc>
          <w:tcPr>
            <w:tcW w:w="5497" w:type="dxa"/>
            <w:tcBorders>
              <w:top w:val="single" w:color="auto" w:sz="4" w:space="0"/>
              <w:left w:val="single" w:color="auto" w:sz="4" w:space="0"/>
              <w:bottom w:val="single" w:color="auto" w:sz="4" w:space="0"/>
              <w:right w:val="single" w:color="auto" w:sz="4" w:space="0"/>
            </w:tcBorders>
            <w:vAlign w:val="center"/>
          </w:tcPr>
          <w:p w14:paraId="470A7F84">
            <w:pPr>
              <w:jc w:val="left"/>
              <w:rPr>
                <w:rFonts w:hint="eastAsia" w:ascii="宋体" w:hAnsi="宋体" w:cs="宋体"/>
                <w:bCs/>
                <w:color w:val="auto"/>
                <w:szCs w:val="21"/>
                <w:highlight w:val="none"/>
              </w:rPr>
            </w:pPr>
            <w:r>
              <w:rPr>
                <w:rFonts w:hint="eastAsia" w:ascii="宋体" w:hAnsi="宋体" w:cs="宋体"/>
                <w:color w:val="auto"/>
                <w:szCs w:val="21"/>
                <w:highlight w:val="none"/>
              </w:rPr>
              <w:t>本项目采用电子响应文件，供应商按照采购文件要求制作上传电子响应文件，供应商无需提供纸质响应文件。</w:t>
            </w:r>
          </w:p>
        </w:tc>
      </w:tr>
      <w:tr w14:paraId="11FDE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vAlign w:val="center"/>
          </w:tcPr>
          <w:p w14:paraId="175980FF">
            <w:pPr>
              <w:jc w:val="center"/>
              <w:rPr>
                <w:rFonts w:hint="eastAsia" w:ascii="宋体" w:hAnsi="宋体" w:cs="宋体"/>
                <w:color w:val="auto"/>
                <w:szCs w:val="21"/>
                <w:highlight w:val="none"/>
              </w:rPr>
            </w:pPr>
            <w:r>
              <w:rPr>
                <w:rFonts w:hint="eastAsia" w:ascii="宋体" w:hAnsi="宋体" w:cs="宋体"/>
                <w:color w:val="auto"/>
                <w:szCs w:val="21"/>
                <w:highlight w:val="none"/>
              </w:rPr>
              <w:t>8</w:t>
            </w:r>
          </w:p>
        </w:tc>
        <w:tc>
          <w:tcPr>
            <w:tcW w:w="2081" w:type="dxa"/>
            <w:tcBorders>
              <w:top w:val="single" w:color="auto" w:sz="4" w:space="0"/>
              <w:left w:val="single" w:color="auto" w:sz="4" w:space="0"/>
              <w:bottom w:val="single" w:color="auto" w:sz="4" w:space="0"/>
              <w:right w:val="single" w:color="auto" w:sz="4" w:space="0"/>
            </w:tcBorders>
            <w:vAlign w:val="center"/>
          </w:tcPr>
          <w:p w14:paraId="5FB67773">
            <w:pPr>
              <w:jc w:val="center"/>
              <w:rPr>
                <w:rFonts w:hint="eastAsia" w:ascii="宋体" w:hAnsi="宋体" w:cs="宋体"/>
                <w:color w:val="auto"/>
                <w:szCs w:val="21"/>
                <w:highlight w:val="none"/>
              </w:rPr>
            </w:pPr>
            <w:r>
              <w:rPr>
                <w:rFonts w:hint="eastAsia" w:ascii="宋体" w:hAnsi="宋体" w:cs="宋体"/>
                <w:color w:val="auto"/>
                <w:szCs w:val="21"/>
                <w:highlight w:val="none"/>
              </w:rPr>
              <w:t>投标货币</w:t>
            </w:r>
          </w:p>
        </w:tc>
        <w:tc>
          <w:tcPr>
            <w:tcW w:w="5497" w:type="dxa"/>
            <w:tcBorders>
              <w:top w:val="single" w:color="auto" w:sz="4" w:space="0"/>
              <w:left w:val="single" w:color="auto" w:sz="4" w:space="0"/>
              <w:bottom w:val="single" w:color="auto" w:sz="4" w:space="0"/>
              <w:right w:val="single" w:color="auto" w:sz="4" w:space="0"/>
            </w:tcBorders>
            <w:vAlign w:val="center"/>
          </w:tcPr>
          <w:p w14:paraId="7611552F">
            <w:pPr>
              <w:jc w:val="left"/>
              <w:rPr>
                <w:rFonts w:hint="eastAsia" w:ascii="宋体" w:hAnsi="宋体" w:cs="宋体"/>
                <w:color w:val="auto"/>
                <w:szCs w:val="21"/>
                <w:highlight w:val="none"/>
              </w:rPr>
            </w:pPr>
            <w:r>
              <w:rPr>
                <w:rFonts w:hint="eastAsia" w:ascii="宋体" w:hAnsi="宋体" w:cs="宋体"/>
                <w:color w:val="auto"/>
                <w:szCs w:val="21"/>
                <w:highlight w:val="none"/>
              </w:rPr>
              <w:t>人民币</w:t>
            </w:r>
          </w:p>
        </w:tc>
      </w:tr>
      <w:tr w14:paraId="0FA5E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vAlign w:val="center"/>
          </w:tcPr>
          <w:p w14:paraId="549ABA55">
            <w:pPr>
              <w:jc w:val="center"/>
              <w:rPr>
                <w:rFonts w:hint="eastAsia" w:ascii="宋体" w:hAnsi="宋体" w:cs="宋体"/>
                <w:color w:val="auto"/>
                <w:szCs w:val="21"/>
                <w:highlight w:val="none"/>
              </w:rPr>
            </w:pPr>
            <w:r>
              <w:rPr>
                <w:rFonts w:hint="eastAsia" w:ascii="宋体" w:hAnsi="宋体" w:cs="宋体"/>
                <w:color w:val="auto"/>
                <w:szCs w:val="21"/>
                <w:highlight w:val="none"/>
              </w:rPr>
              <w:t>9</w:t>
            </w:r>
          </w:p>
        </w:tc>
        <w:tc>
          <w:tcPr>
            <w:tcW w:w="2081" w:type="dxa"/>
            <w:tcBorders>
              <w:top w:val="single" w:color="auto" w:sz="4" w:space="0"/>
              <w:left w:val="single" w:color="auto" w:sz="4" w:space="0"/>
              <w:bottom w:val="single" w:color="auto" w:sz="4" w:space="0"/>
              <w:right w:val="single" w:color="auto" w:sz="4" w:space="0"/>
            </w:tcBorders>
            <w:vAlign w:val="center"/>
          </w:tcPr>
          <w:p w14:paraId="4EEB3AED">
            <w:pPr>
              <w:jc w:val="center"/>
              <w:rPr>
                <w:rFonts w:hint="eastAsia" w:ascii="宋体" w:hAnsi="宋体" w:cs="宋体"/>
                <w:color w:val="auto"/>
                <w:szCs w:val="21"/>
                <w:highlight w:val="none"/>
              </w:rPr>
            </w:pPr>
            <w:r>
              <w:rPr>
                <w:rFonts w:hint="eastAsia" w:ascii="宋体" w:hAnsi="宋体" w:cs="宋体"/>
                <w:color w:val="auto"/>
                <w:szCs w:val="21"/>
                <w:highlight w:val="none"/>
              </w:rPr>
              <w:t>响应文件有效期</w:t>
            </w:r>
          </w:p>
        </w:tc>
        <w:tc>
          <w:tcPr>
            <w:tcW w:w="5497" w:type="dxa"/>
            <w:tcBorders>
              <w:top w:val="single" w:color="auto" w:sz="4" w:space="0"/>
              <w:left w:val="single" w:color="auto" w:sz="4" w:space="0"/>
              <w:bottom w:val="single" w:color="auto" w:sz="4" w:space="0"/>
              <w:right w:val="single" w:color="auto" w:sz="4" w:space="0"/>
            </w:tcBorders>
            <w:vAlign w:val="center"/>
          </w:tcPr>
          <w:p w14:paraId="31406D17">
            <w:pPr>
              <w:jc w:val="left"/>
              <w:rPr>
                <w:rFonts w:hint="eastAsia" w:ascii="宋体" w:hAnsi="宋体" w:cs="宋体"/>
                <w:color w:val="auto"/>
                <w:szCs w:val="21"/>
                <w:highlight w:val="none"/>
              </w:rPr>
            </w:pPr>
            <w:r>
              <w:rPr>
                <w:rFonts w:hint="eastAsia" w:ascii="宋体" w:hAnsi="宋体" w:cs="宋体"/>
                <w:color w:val="auto"/>
                <w:szCs w:val="21"/>
                <w:highlight w:val="none"/>
                <w:u w:val="single"/>
              </w:rPr>
              <w:t>90</w:t>
            </w:r>
            <w:r>
              <w:rPr>
                <w:rFonts w:hint="eastAsia" w:ascii="宋体" w:hAnsi="宋体" w:cs="宋体"/>
                <w:color w:val="auto"/>
                <w:szCs w:val="21"/>
                <w:highlight w:val="none"/>
              </w:rPr>
              <w:t>日历天（从投标截止之日算起）</w:t>
            </w:r>
          </w:p>
        </w:tc>
      </w:tr>
      <w:tr w14:paraId="0A70C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4" w:hRule="atLeast"/>
        </w:trPr>
        <w:tc>
          <w:tcPr>
            <w:tcW w:w="805" w:type="dxa"/>
            <w:tcBorders>
              <w:top w:val="single" w:color="auto" w:sz="4" w:space="0"/>
              <w:left w:val="single" w:color="auto" w:sz="4" w:space="0"/>
              <w:right w:val="single" w:color="auto" w:sz="4" w:space="0"/>
            </w:tcBorders>
            <w:vAlign w:val="center"/>
          </w:tcPr>
          <w:p w14:paraId="69ACE877">
            <w:pPr>
              <w:jc w:val="center"/>
              <w:rPr>
                <w:rFonts w:hint="eastAsia" w:ascii="宋体" w:hAnsi="宋体" w:cs="宋体"/>
                <w:color w:val="auto"/>
                <w:szCs w:val="21"/>
                <w:highlight w:val="none"/>
              </w:rPr>
            </w:pPr>
            <w:r>
              <w:rPr>
                <w:rFonts w:hint="eastAsia" w:ascii="宋体" w:hAnsi="宋体" w:cs="宋体"/>
                <w:color w:val="auto"/>
                <w:szCs w:val="21"/>
                <w:highlight w:val="none"/>
              </w:rPr>
              <w:t>10</w:t>
            </w:r>
          </w:p>
        </w:tc>
        <w:tc>
          <w:tcPr>
            <w:tcW w:w="2081" w:type="dxa"/>
            <w:tcBorders>
              <w:top w:val="single" w:color="auto" w:sz="4" w:space="0"/>
              <w:left w:val="single" w:color="auto" w:sz="4" w:space="0"/>
              <w:bottom w:val="single" w:color="auto" w:sz="4" w:space="0"/>
              <w:right w:val="single" w:color="auto" w:sz="4" w:space="0"/>
            </w:tcBorders>
            <w:vAlign w:val="center"/>
          </w:tcPr>
          <w:p w14:paraId="295F0396">
            <w:pPr>
              <w:spacing w:line="312" w:lineRule="auto"/>
              <w:jc w:val="center"/>
              <w:rPr>
                <w:rFonts w:hint="eastAsia" w:ascii="宋体" w:hAnsi="宋体" w:cs="宋体"/>
                <w:color w:val="auto"/>
                <w:szCs w:val="21"/>
                <w:highlight w:val="none"/>
              </w:rPr>
            </w:pPr>
            <w:r>
              <w:rPr>
                <w:rFonts w:hint="eastAsia" w:ascii="宋体" w:hAnsi="宋体" w:cs="宋体"/>
                <w:color w:val="auto"/>
                <w:szCs w:val="21"/>
                <w:highlight w:val="none"/>
              </w:rPr>
              <w:t>响应文件网上</w:t>
            </w:r>
          </w:p>
          <w:p w14:paraId="3D19499D">
            <w:pPr>
              <w:spacing w:line="312" w:lineRule="auto"/>
              <w:jc w:val="center"/>
              <w:rPr>
                <w:rFonts w:hint="eastAsia" w:ascii="宋体" w:hAnsi="宋体" w:cs="宋体"/>
                <w:color w:val="auto"/>
                <w:szCs w:val="21"/>
                <w:highlight w:val="none"/>
              </w:rPr>
            </w:pPr>
            <w:r>
              <w:rPr>
                <w:rFonts w:hint="eastAsia" w:ascii="宋体" w:hAnsi="宋体" w:cs="宋体"/>
                <w:color w:val="auto"/>
                <w:szCs w:val="21"/>
                <w:highlight w:val="none"/>
              </w:rPr>
              <w:t>提交截止时间</w:t>
            </w:r>
          </w:p>
        </w:tc>
        <w:tc>
          <w:tcPr>
            <w:tcW w:w="5497" w:type="dxa"/>
            <w:tcBorders>
              <w:top w:val="single" w:color="auto" w:sz="4" w:space="0"/>
              <w:left w:val="single" w:color="auto" w:sz="4" w:space="0"/>
              <w:bottom w:val="single" w:color="auto" w:sz="4" w:space="0"/>
              <w:right w:val="single" w:color="auto" w:sz="4" w:space="0"/>
            </w:tcBorders>
            <w:vAlign w:val="center"/>
          </w:tcPr>
          <w:p w14:paraId="0E29E7C0">
            <w:pPr>
              <w:spacing w:line="312" w:lineRule="auto"/>
              <w:jc w:val="left"/>
              <w:rPr>
                <w:rFonts w:hint="eastAsia" w:ascii="宋体" w:hAnsi="宋体" w:cs="宋体"/>
                <w:color w:val="auto"/>
                <w:szCs w:val="21"/>
                <w:highlight w:val="none"/>
              </w:rPr>
            </w:pPr>
            <w:r>
              <w:rPr>
                <w:rFonts w:hint="eastAsia" w:ascii="宋体" w:hAnsi="宋体" w:cs="宋体"/>
                <w:color w:val="auto"/>
                <w:szCs w:val="21"/>
                <w:highlight w:val="none"/>
              </w:rPr>
              <w:t>2025年11月26 日13:30（北京时间）</w:t>
            </w:r>
          </w:p>
          <w:p w14:paraId="78AC70D0">
            <w:pPr>
              <w:spacing w:line="312" w:lineRule="auto"/>
              <w:jc w:val="left"/>
              <w:rPr>
                <w:rFonts w:hint="eastAsia" w:ascii="宋体" w:hAnsi="宋体" w:cs="宋体"/>
                <w:b/>
                <w:color w:val="auto"/>
                <w:szCs w:val="21"/>
                <w:highlight w:val="none"/>
              </w:rPr>
            </w:pPr>
            <w:r>
              <w:rPr>
                <w:rFonts w:hint="eastAsia" w:ascii="宋体" w:hAnsi="宋体" w:cs="宋体"/>
                <w:color w:val="auto"/>
                <w:szCs w:val="21"/>
                <w:highlight w:val="none"/>
              </w:rPr>
              <w:t>响应文件必须在截止时间前完成提交（上传），逾期提交（上传）的响应文件恕不接受。</w:t>
            </w:r>
          </w:p>
        </w:tc>
      </w:tr>
      <w:tr w14:paraId="18510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4" w:hRule="atLeast"/>
        </w:trPr>
        <w:tc>
          <w:tcPr>
            <w:tcW w:w="805" w:type="dxa"/>
            <w:tcBorders>
              <w:top w:val="single" w:color="auto" w:sz="4" w:space="0"/>
              <w:left w:val="single" w:color="auto" w:sz="4" w:space="0"/>
              <w:right w:val="single" w:color="auto" w:sz="4" w:space="0"/>
            </w:tcBorders>
            <w:vAlign w:val="center"/>
          </w:tcPr>
          <w:p w14:paraId="22A98E32">
            <w:pPr>
              <w:jc w:val="center"/>
              <w:rPr>
                <w:rFonts w:hint="eastAsia" w:ascii="宋体" w:hAnsi="宋体" w:cs="宋体"/>
                <w:color w:val="auto"/>
                <w:szCs w:val="21"/>
                <w:highlight w:val="none"/>
              </w:rPr>
            </w:pPr>
            <w:r>
              <w:rPr>
                <w:rFonts w:hint="eastAsia" w:ascii="宋体" w:hAnsi="宋体" w:cs="宋体"/>
                <w:color w:val="auto"/>
                <w:szCs w:val="21"/>
                <w:highlight w:val="none"/>
              </w:rPr>
              <w:t>11</w:t>
            </w:r>
          </w:p>
        </w:tc>
        <w:tc>
          <w:tcPr>
            <w:tcW w:w="2081" w:type="dxa"/>
            <w:tcBorders>
              <w:top w:val="single" w:color="auto" w:sz="4" w:space="0"/>
              <w:left w:val="single" w:color="auto" w:sz="4" w:space="0"/>
              <w:bottom w:val="single" w:color="auto" w:sz="4" w:space="0"/>
              <w:right w:val="single" w:color="auto" w:sz="4" w:space="0"/>
            </w:tcBorders>
            <w:vAlign w:val="center"/>
          </w:tcPr>
          <w:p w14:paraId="5DC0E28A">
            <w:pPr>
              <w:spacing w:line="312" w:lineRule="auto"/>
              <w:jc w:val="center"/>
              <w:rPr>
                <w:rFonts w:hint="eastAsia" w:ascii="宋体" w:hAnsi="宋体" w:cs="宋体"/>
                <w:color w:val="auto"/>
                <w:szCs w:val="21"/>
                <w:highlight w:val="none"/>
              </w:rPr>
            </w:pPr>
            <w:r>
              <w:rPr>
                <w:rFonts w:hint="eastAsia" w:ascii="宋体" w:hAnsi="宋体" w:cs="宋体"/>
                <w:color w:val="auto"/>
                <w:szCs w:val="21"/>
                <w:highlight w:val="none"/>
              </w:rPr>
              <w:t>开启时间</w:t>
            </w:r>
          </w:p>
          <w:p w14:paraId="4BBFA1D2">
            <w:pPr>
              <w:spacing w:line="312" w:lineRule="auto"/>
              <w:jc w:val="center"/>
              <w:rPr>
                <w:rFonts w:hint="eastAsia" w:ascii="宋体" w:hAnsi="宋体" w:cs="宋体"/>
                <w:color w:val="auto"/>
                <w:szCs w:val="21"/>
                <w:highlight w:val="none"/>
              </w:rPr>
            </w:pPr>
            <w:r>
              <w:rPr>
                <w:rFonts w:hint="eastAsia" w:ascii="宋体" w:hAnsi="宋体" w:cs="宋体"/>
                <w:color w:val="auto"/>
                <w:szCs w:val="21"/>
                <w:highlight w:val="none"/>
              </w:rPr>
              <w:t>开启地点</w:t>
            </w:r>
          </w:p>
        </w:tc>
        <w:tc>
          <w:tcPr>
            <w:tcW w:w="5497" w:type="dxa"/>
            <w:tcBorders>
              <w:top w:val="single" w:color="auto" w:sz="4" w:space="0"/>
              <w:left w:val="single" w:color="auto" w:sz="4" w:space="0"/>
              <w:bottom w:val="single" w:color="auto" w:sz="4" w:space="0"/>
              <w:right w:val="single" w:color="auto" w:sz="4" w:space="0"/>
            </w:tcBorders>
            <w:vAlign w:val="center"/>
          </w:tcPr>
          <w:p w14:paraId="11AFDF64">
            <w:pPr>
              <w:spacing w:line="312" w:lineRule="auto"/>
              <w:jc w:val="left"/>
              <w:rPr>
                <w:rFonts w:hint="eastAsia" w:ascii="宋体" w:hAnsi="宋体" w:cs="宋体"/>
                <w:color w:val="auto"/>
                <w:szCs w:val="21"/>
                <w:highlight w:val="none"/>
              </w:rPr>
            </w:pPr>
            <w:r>
              <w:rPr>
                <w:rFonts w:hint="eastAsia" w:ascii="宋体" w:hAnsi="宋体" w:cs="宋体"/>
                <w:color w:val="auto"/>
                <w:szCs w:val="21"/>
                <w:highlight w:val="none"/>
              </w:rPr>
              <w:t>2025年11月26 日13:30（北京时间）</w:t>
            </w:r>
          </w:p>
          <w:p w14:paraId="2319BA99">
            <w:pPr>
              <w:spacing w:line="312" w:lineRule="auto"/>
              <w:jc w:val="left"/>
              <w:rPr>
                <w:rFonts w:hint="eastAsia" w:ascii="宋体" w:hAnsi="宋体" w:cs="宋体"/>
                <w:color w:val="auto"/>
                <w:szCs w:val="21"/>
                <w:highlight w:val="none"/>
              </w:rPr>
            </w:pPr>
            <w:r>
              <w:rPr>
                <w:rFonts w:hint="eastAsia" w:ascii="宋体" w:hAnsi="宋体" w:cs="宋体"/>
                <w:color w:val="auto"/>
                <w:szCs w:val="21"/>
                <w:highlight w:val="none"/>
              </w:rPr>
              <w:t>“苏采云”系统（网址：</w:t>
            </w:r>
            <w:r>
              <w:rPr>
                <w:rFonts w:hint="eastAsia"/>
                <w:color w:val="auto"/>
                <w:highlight w:val="none"/>
              </w:rPr>
              <w:fldChar w:fldCharType="begin"/>
            </w:r>
            <w:r>
              <w:rPr>
                <w:color w:val="auto"/>
                <w:highlight w:val="none"/>
              </w:rPr>
              <w:instrText xml:space="preserve"> HYPERLINK "http://jszfcg.jsczt.cn/" \o "http://jszfcg.jsczt.cn/" </w:instrText>
            </w:r>
            <w:r>
              <w:rPr>
                <w:rFonts w:hint="eastAsia"/>
                <w:color w:val="auto"/>
                <w:highlight w:val="none"/>
              </w:rPr>
              <w:fldChar w:fldCharType="separate"/>
            </w:r>
            <w:r>
              <w:rPr>
                <w:rFonts w:hint="eastAsia" w:ascii="宋体" w:hAnsi="宋体" w:cs="宋体"/>
                <w:color w:val="auto"/>
                <w:szCs w:val="21"/>
                <w:highlight w:val="none"/>
              </w:rPr>
              <w:t>http://jszfcg.jsczt.cn/</w:t>
            </w:r>
            <w:r>
              <w:rPr>
                <w:rFonts w:hint="eastAsia" w:ascii="宋体" w:hAnsi="宋体" w:cs="宋体"/>
                <w:color w:val="auto"/>
                <w:szCs w:val="21"/>
                <w:highlight w:val="none"/>
              </w:rPr>
              <w:fldChar w:fldCharType="end"/>
            </w:r>
            <w:r>
              <w:rPr>
                <w:rFonts w:hint="eastAsia" w:ascii="宋体" w:hAnsi="宋体" w:cs="宋体"/>
                <w:color w:val="auto"/>
                <w:szCs w:val="21"/>
                <w:highlight w:val="none"/>
              </w:rPr>
              <w:t>）</w:t>
            </w:r>
          </w:p>
          <w:p w14:paraId="2D184D0F">
            <w:pPr>
              <w:pStyle w:val="244"/>
              <w:jc w:val="left"/>
              <w:rPr>
                <w:rFonts w:hint="eastAsia" w:hAnsi="宋体" w:cs="宋体"/>
                <w:color w:val="auto"/>
                <w:szCs w:val="21"/>
                <w:highlight w:val="none"/>
              </w:rPr>
            </w:pPr>
            <w:r>
              <w:rPr>
                <w:rFonts w:hint="eastAsia" w:hAnsi="宋体" w:cs="宋体"/>
                <w:b/>
                <w:color w:val="auto"/>
                <w:szCs w:val="21"/>
                <w:highlight w:val="none"/>
              </w:rPr>
              <w:t>本项目为不见面开标项目，开启阶段供应商在【供应商解密】环节必须使用 CA证书解密电子响应文件，如在系统规定的解密时间内未能完成解密的视为放弃参与本项目。</w:t>
            </w:r>
          </w:p>
        </w:tc>
      </w:tr>
      <w:tr w14:paraId="34BF7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trPr>
        <w:tc>
          <w:tcPr>
            <w:tcW w:w="805" w:type="dxa"/>
            <w:tcBorders>
              <w:top w:val="single" w:color="auto" w:sz="4" w:space="0"/>
              <w:left w:val="single" w:color="auto" w:sz="4" w:space="0"/>
              <w:bottom w:val="single" w:color="auto" w:sz="4" w:space="0"/>
              <w:right w:val="single" w:color="auto" w:sz="4" w:space="0"/>
            </w:tcBorders>
            <w:vAlign w:val="center"/>
          </w:tcPr>
          <w:p w14:paraId="78293EB5">
            <w:pPr>
              <w:jc w:val="center"/>
              <w:rPr>
                <w:rFonts w:hint="eastAsia" w:ascii="宋体" w:hAnsi="宋体" w:cs="宋体"/>
                <w:color w:val="auto"/>
                <w:szCs w:val="21"/>
                <w:highlight w:val="none"/>
              </w:rPr>
            </w:pPr>
            <w:r>
              <w:rPr>
                <w:rFonts w:hint="eastAsia" w:ascii="宋体" w:hAnsi="宋体" w:cs="宋体"/>
                <w:color w:val="auto"/>
                <w:szCs w:val="21"/>
                <w:highlight w:val="none"/>
              </w:rPr>
              <w:t>12</w:t>
            </w:r>
          </w:p>
        </w:tc>
        <w:tc>
          <w:tcPr>
            <w:tcW w:w="2081" w:type="dxa"/>
            <w:tcBorders>
              <w:top w:val="single" w:color="auto" w:sz="4" w:space="0"/>
              <w:left w:val="single" w:color="auto" w:sz="4" w:space="0"/>
              <w:bottom w:val="single" w:color="auto" w:sz="4" w:space="0"/>
              <w:right w:val="single" w:color="auto" w:sz="4" w:space="0"/>
            </w:tcBorders>
            <w:vAlign w:val="center"/>
          </w:tcPr>
          <w:p w14:paraId="6157A940">
            <w:pPr>
              <w:spacing w:line="312" w:lineRule="auto"/>
              <w:jc w:val="center"/>
              <w:rPr>
                <w:rFonts w:hint="eastAsia" w:ascii="宋体" w:hAnsi="宋体" w:cs="宋体"/>
                <w:color w:val="auto"/>
                <w:szCs w:val="21"/>
                <w:highlight w:val="none"/>
              </w:rPr>
            </w:pPr>
            <w:r>
              <w:rPr>
                <w:rFonts w:hint="eastAsia" w:ascii="宋体" w:hAnsi="宋体" w:cs="宋体"/>
                <w:color w:val="auto"/>
                <w:szCs w:val="21"/>
                <w:highlight w:val="none"/>
              </w:rPr>
              <w:t>评审时间</w:t>
            </w:r>
          </w:p>
          <w:p w14:paraId="7B04F40F">
            <w:pPr>
              <w:spacing w:line="312" w:lineRule="auto"/>
              <w:jc w:val="center"/>
              <w:rPr>
                <w:rFonts w:hint="eastAsia" w:ascii="宋体" w:hAnsi="宋体" w:cs="宋体"/>
                <w:color w:val="auto"/>
                <w:szCs w:val="21"/>
                <w:highlight w:val="none"/>
              </w:rPr>
            </w:pPr>
            <w:r>
              <w:rPr>
                <w:rFonts w:hint="eastAsia" w:ascii="宋体" w:hAnsi="宋体" w:cs="宋体"/>
                <w:color w:val="auto"/>
                <w:szCs w:val="21"/>
                <w:highlight w:val="none"/>
              </w:rPr>
              <w:t>评审地点</w:t>
            </w:r>
          </w:p>
        </w:tc>
        <w:tc>
          <w:tcPr>
            <w:tcW w:w="5497" w:type="dxa"/>
            <w:tcBorders>
              <w:top w:val="single" w:color="auto" w:sz="4" w:space="0"/>
              <w:left w:val="single" w:color="auto" w:sz="4" w:space="0"/>
              <w:bottom w:val="single" w:color="auto" w:sz="4" w:space="0"/>
              <w:right w:val="single" w:color="auto" w:sz="4" w:space="0"/>
            </w:tcBorders>
            <w:vAlign w:val="center"/>
          </w:tcPr>
          <w:p w14:paraId="0813CE4D">
            <w:pPr>
              <w:jc w:val="left"/>
              <w:rPr>
                <w:rFonts w:hint="eastAsia" w:ascii="宋体" w:hAnsi="宋体" w:cs="宋体"/>
                <w:color w:val="auto"/>
                <w:szCs w:val="21"/>
                <w:highlight w:val="none"/>
              </w:rPr>
            </w:pPr>
            <w:r>
              <w:rPr>
                <w:rFonts w:hint="eastAsia" w:ascii="宋体" w:hAnsi="宋体" w:cs="宋体"/>
                <w:color w:val="auto"/>
                <w:szCs w:val="21"/>
                <w:highlight w:val="none"/>
              </w:rPr>
              <w:t>时间：2025年11月26 日13：30（北京时间）</w:t>
            </w:r>
          </w:p>
          <w:p w14:paraId="7ADE1458">
            <w:pPr>
              <w:jc w:val="left"/>
              <w:rPr>
                <w:rFonts w:hint="eastAsia" w:ascii="宋体" w:hAnsi="宋体" w:cs="宋体"/>
                <w:color w:val="auto"/>
                <w:szCs w:val="21"/>
                <w:highlight w:val="none"/>
              </w:rPr>
            </w:pPr>
            <w:r>
              <w:rPr>
                <w:rFonts w:hint="eastAsia" w:ascii="宋体" w:hAnsi="宋体" w:cs="宋体"/>
                <w:bCs/>
                <w:color w:val="auto"/>
                <w:szCs w:val="21"/>
                <w:highlight w:val="none"/>
                <w:lang w:bidi="ar"/>
              </w:rPr>
              <w:t>地点：</w:t>
            </w:r>
            <w:r>
              <w:rPr>
                <w:rFonts w:hint="eastAsia" w:ascii="宋体" w:hAnsi="宋体" w:cs="宋体"/>
                <w:bCs/>
                <w:color w:val="auto"/>
                <w:szCs w:val="21"/>
                <w:highlight w:val="none"/>
              </w:rPr>
              <w:t>苏州市公共资源交易中心吴江分中心开标室（吴江区开平路998号三楼</w:t>
            </w:r>
            <w:r>
              <w:rPr>
                <w:rStyle w:val="233"/>
                <w:rFonts w:hint="eastAsia" w:ascii="宋体" w:hAnsi="宋体" w:cs="宋体"/>
                <w:bCs/>
                <w:color w:val="auto"/>
                <w:szCs w:val="21"/>
                <w:highlight w:val="none"/>
              </w:rPr>
              <w:t>）</w:t>
            </w:r>
          </w:p>
        </w:tc>
      </w:tr>
    </w:tbl>
    <w:p w14:paraId="2FA7B002">
      <w:pPr>
        <w:jc w:val="center"/>
        <w:rPr>
          <w:b/>
          <w:bCs/>
          <w:color w:val="auto"/>
          <w:sz w:val="52"/>
          <w:szCs w:val="72"/>
          <w:highlight w:val="none"/>
        </w:rPr>
      </w:pPr>
    </w:p>
    <w:p w14:paraId="4F17F705">
      <w:pPr>
        <w:pStyle w:val="258"/>
        <w:jc w:val="center"/>
        <w:rPr>
          <w:rFonts w:ascii="Times New Roman" w:hAnsi="Times New Roman" w:eastAsia="宋体"/>
          <w:b/>
          <w:bCs/>
          <w:color w:val="auto"/>
          <w:sz w:val="36"/>
          <w:szCs w:val="36"/>
          <w:highlight w:val="none"/>
        </w:rPr>
      </w:pPr>
      <w:bookmarkStart w:id="0" w:name="_Toc2269"/>
      <w:r>
        <w:rPr>
          <w:rFonts w:ascii="Times New Roman" w:hAnsi="Times New Roman" w:eastAsia="宋体"/>
          <w:b/>
          <w:bCs/>
          <w:color w:val="auto"/>
          <w:sz w:val="36"/>
          <w:szCs w:val="36"/>
          <w:highlight w:val="none"/>
          <w:lang w:val="zh-CN"/>
        </w:rPr>
        <w:br w:type="page" w:clear="all"/>
      </w:r>
      <w:r>
        <w:rPr>
          <w:rFonts w:ascii="Times New Roman" w:hAnsi="Times New Roman" w:eastAsia="宋体"/>
          <w:b/>
          <w:bCs/>
          <w:color w:val="auto"/>
          <w:sz w:val="36"/>
          <w:szCs w:val="36"/>
          <w:highlight w:val="none"/>
          <w:lang w:val="zh-CN"/>
        </w:rPr>
        <w:t>目录</w:t>
      </w:r>
      <w:bookmarkEnd w:id="0"/>
    </w:p>
    <w:p w14:paraId="656C60CB">
      <w:pPr>
        <w:pStyle w:val="238"/>
        <w:tabs>
          <w:tab w:val="right" w:leader="dot" w:pos="8193"/>
        </w:tabs>
        <w:rPr>
          <w:rFonts w:hint="eastAsia" w:ascii="宋体" w:hAnsi="宋体" w:cs="宋体"/>
          <w:color w:val="auto"/>
          <w:sz w:val="30"/>
          <w:szCs w:val="30"/>
          <w:highlight w:val="none"/>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TOC \o "1-1" \h \u </w:instrText>
      </w:r>
      <w:r>
        <w:rPr>
          <w:rFonts w:hint="eastAsia" w:ascii="宋体" w:hAnsi="宋体" w:cs="宋体"/>
          <w:color w:val="auto"/>
          <w:sz w:val="30"/>
          <w:szCs w:val="30"/>
          <w:highlight w:val="none"/>
        </w:rPr>
        <w:fldChar w:fldCharType="separate"/>
      </w:r>
      <w:r>
        <w:rPr>
          <w:color w:val="auto"/>
          <w:highlight w:val="none"/>
        </w:rPr>
        <w:fldChar w:fldCharType="begin"/>
      </w:r>
      <w:r>
        <w:rPr>
          <w:color w:val="auto"/>
          <w:highlight w:val="none"/>
        </w:rPr>
        <w:instrText xml:space="preserve"> HYPERLINK \l "_Toc28173" </w:instrText>
      </w:r>
      <w:r>
        <w:rPr>
          <w:color w:val="auto"/>
          <w:highlight w:val="none"/>
        </w:rPr>
        <w:fldChar w:fldCharType="separate"/>
      </w:r>
      <w:r>
        <w:rPr>
          <w:rFonts w:hint="eastAsia" w:ascii="宋体" w:hAnsi="宋体" w:cs="宋体"/>
          <w:color w:val="auto"/>
          <w:sz w:val="30"/>
          <w:szCs w:val="30"/>
          <w:highlight w:val="none"/>
        </w:rPr>
        <w:t>第一章 邀请书</w:t>
      </w:r>
      <w:r>
        <w:rPr>
          <w:rFonts w:hint="eastAsia" w:ascii="宋体" w:hAnsi="宋体" w:cs="宋体"/>
          <w:color w:val="auto"/>
          <w:sz w:val="30"/>
          <w:szCs w:val="30"/>
          <w:highlight w:val="none"/>
        </w:rPr>
        <w:tab/>
      </w:r>
      <w:r>
        <w:rPr>
          <w:rFonts w:hint="eastAsia" w:ascii="宋体" w:hAnsi="宋体" w:cs="宋体"/>
          <w:color w:val="auto"/>
          <w:sz w:val="30"/>
          <w:szCs w:val="30"/>
          <w:highlight w:val="none"/>
        </w:rPr>
        <w:t>1</w:t>
      </w:r>
      <w:r>
        <w:rPr>
          <w:rFonts w:hint="eastAsia" w:ascii="宋体" w:hAnsi="宋体" w:cs="宋体"/>
          <w:color w:val="auto"/>
          <w:sz w:val="30"/>
          <w:szCs w:val="30"/>
          <w:highlight w:val="none"/>
        </w:rPr>
        <w:fldChar w:fldCharType="end"/>
      </w:r>
    </w:p>
    <w:p w14:paraId="09CA2DC2">
      <w:pPr>
        <w:pStyle w:val="238"/>
        <w:tabs>
          <w:tab w:val="right" w:leader="dot" w:pos="8193"/>
        </w:tabs>
        <w:rPr>
          <w:rFonts w:hint="eastAsia" w:ascii="宋体" w:hAnsi="宋体" w:cs="宋体"/>
          <w:color w:val="auto"/>
          <w:sz w:val="30"/>
          <w:szCs w:val="30"/>
          <w:highlight w:val="none"/>
        </w:rPr>
      </w:pPr>
      <w:r>
        <w:rPr>
          <w:color w:val="auto"/>
          <w:highlight w:val="none"/>
        </w:rPr>
        <w:fldChar w:fldCharType="begin"/>
      </w:r>
      <w:r>
        <w:rPr>
          <w:color w:val="auto"/>
          <w:highlight w:val="none"/>
        </w:rPr>
        <w:instrText xml:space="preserve"> HYPERLINK \l "_Toc24451" </w:instrText>
      </w:r>
      <w:r>
        <w:rPr>
          <w:color w:val="auto"/>
          <w:highlight w:val="none"/>
        </w:rPr>
        <w:fldChar w:fldCharType="separate"/>
      </w:r>
      <w:r>
        <w:rPr>
          <w:rFonts w:hint="eastAsia" w:ascii="宋体" w:hAnsi="宋体" w:cs="宋体"/>
          <w:color w:val="auto"/>
          <w:sz w:val="30"/>
          <w:szCs w:val="30"/>
          <w:highlight w:val="none"/>
        </w:rPr>
        <w:t>第二章 供应商须知</w:t>
      </w:r>
      <w:r>
        <w:rPr>
          <w:rFonts w:hint="eastAsia" w:ascii="宋体" w:hAnsi="宋体" w:cs="宋体"/>
          <w:color w:val="auto"/>
          <w:sz w:val="30"/>
          <w:szCs w:val="30"/>
          <w:highlight w:val="none"/>
        </w:rPr>
        <w:tab/>
      </w:r>
      <w:r>
        <w:rPr>
          <w:rFonts w:hint="eastAsia" w:ascii="宋体" w:hAnsi="宋体" w:cs="宋体"/>
          <w:color w:val="auto"/>
          <w:sz w:val="30"/>
          <w:szCs w:val="30"/>
          <w:highlight w:val="none"/>
        </w:rPr>
        <w:t>7</w:t>
      </w:r>
      <w:r>
        <w:rPr>
          <w:rFonts w:hint="eastAsia" w:ascii="宋体" w:hAnsi="宋体" w:cs="宋体"/>
          <w:color w:val="auto"/>
          <w:sz w:val="30"/>
          <w:szCs w:val="30"/>
          <w:highlight w:val="none"/>
        </w:rPr>
        <w:fldChar w:fldCharType="end"/>
      </w:r>
    </w:p>
    <w:p w14:paraId="2C4A0F12">
      <w:pPr>
        <w:pStyle w:val="238"/>
        <w:tabs>
          <w:tab w:val="right" w:leader="dot" w:pos="8193"/>
        </w:tabs>
        <w:rPr>
          <w:rFonts w:hint="eastAsia" w:ascii="宋体" w:hAnsi="宋体" w:cs="宋体"/>
          <w:color w:val="auto"/>
          <w:sz w:val="30"/>
          <w:szCs w:val="30"/>
          <w:highlight w:val="none"/>
        </w:rPr>
      </w:pPr>
      <w:r>
        <w:rPr>
          <w:color w:val="auto"/>
          <w:highlight w:val="none"/>
        </w:rPr>
        <w:fldChar w:fldCharType="begin"/>
      </w:r>
      <w:r>
        <w:rPr>
          <w:color w:val="auto"/>
          <w:highlight w:val="none"/>
        </w:rPr>
        <w:instrText xml:space="preserve"> HYPERLINK \l "_Toc16385" </w:instrText>
      </w:r>
      <w:r>
        <w:rPr>
          <w:color w:val="auto"/>
          <w:highlight w:val="none"/>
        </w:rPr>
        <w:fldChar w:fldCharType="separate"/>
      </w:r>
      <w:r>
        <w:rPr>
          <w:rFonts w:hint="eastAsia" w:ascii="宋体" w:hAnsi="宋体" w:cs="宋体"/>
          <w:color w:val="auto"/>
          <w:sz w:val="30"/>
          <w:szCs w:val="30"/>
          <w:highlight w:val="none"/>
          <w:lang w:val="zh-CN"/>
        </w:rPr>
        <w:t>第</w:t>
      </w:r>
      <w:r>
        <w:rPr>
          <w:rFonts w:hint="eastAsia" w:ascii="宋体" w:hAnsi="宋体" w:cs="宋体"/>
          <w:color w:val="auto"/>
          <w:sz w:val="30"/>
          <w:szCs w:val="30"/>
          <w:highlight w:val="none"/>
        </w:rPr>
        <w:t>三</w:t>
      </w:r>
      <w:r>
        <w:rPr>
          <w:rFonts w:hint="eastAsia" w:ascii="宋体" w:hAnsi="宋体" w:cs="宋体"/>
          <w:color w:val="auto"/>
          <w:sz w:val="30"/>
          <w:szCs w:val="30"/>
          <w:highlight w:val="none"/>
          <w:lang w:val="zh-CN"/>
        </w:rPr>
        <w:t>章 响应文件格式</w:t>
      </w:r>
      <w:r>
        <w:rPr>
          <w:rFonts w:hint="eastAsia" w:ascii="宋体" w:hAnsi="宋体" w:cs="宋体"/>
          <w:color w:val="auto"/>
          <w:sz w:val="30"/>
          <w:szCs w:val="30"/>
          <w:highlight w:val="none"/>
        </w:rPr>
        <w:tab/>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rPr>
        <w:t>20</w:t>
      </w:r>
    </w:p>
    <w:p w14:paraId="3030E3BB">
      <w:pPr>
        <w:pStyle w:val="238"/>
        <w:tabs>
          <w:tab w:val="right" w:leader="dot" w:pos="8193"/>
        </w:tabs>
        <w:rPr>
          <w:rFonts w:hint="eastAsia" w:ascii="宋体" w:hAnsi="宋体" w:cs="宋体"/>
          <w:color w:val="auto"/>
          <w:sz w:val="30"/>
          <w:szCs w:val="30"/>
          <w:highlight w:val="none"/>
        </w:rPr>
      </w:pPr>
      <w:r>
        <w:rPr>
          <w:color w:val="auto"/>
          <w:highlight w:val="none"/>
        </w:rPr>
        <w:fldChar w:fldCharType="begin"/>
      </w:r>
      <w:r>
        <w:rPr>
          <w:color w:val="auto"/>
          <w:highlight w:val="none"/>
        </w:rPr>
        <w:instrText xml:space="preserve"> HYPERLINK \l "_Toc30743" </w:instrText>
      </w:r>
      <w:r>
        <w:rPr>
          <w:color w:val="auto"/>
          <w:highlight w:val="none"/>
        </w:rPr>
        <w:fldChar w:fldCharType="separate"/>
      </w:r>
      <w:r>
        <w:rPr>
          <w:rFonts w:hint="eastAsia" w:ascii="宋体" w:hAnsi="宋体" w:cs="宋体"/>
          <w:color w:val="auto"/>
          <w:sz w:val="30"/>
          <w:szCs w:val="30"/>
          <w:highlight w:val="none"/>
          <w:lang w:val="zh-CN"/>
        </w:rPr>
        <w:t>第</w:t>
      </w:r>
      <w:r>
        <w:rPr>
          <w:rFonts w:hint="eastAsia" w:ascii="宋体" w:hAnsi="宋体" w:cs="宋体"/>
          <w:color w:val="auto"/>
          <w:sz w:val="30"/>
          <w:szCs w:val="30"/>
          <w:highlight w:val="none"/>
        </w:rPr>
        <w:t>四</w:t>
      </w:r>
      <w:r>
        <w:rPr>
          <w:rFonts w:hint="eastAsia" w:ascii="宋体" w:hAnsi="宋体" w:cs="宋体"/>
          <w:color w:val="auto"/>
          <w:sz w:val="30"/>
          <w:szCs w:val="30"/>
          <w:highlight w:val="none"/>
          <w:lang w:val="zh-CN"/>
        </w:rPr>
        <w:t xml:space="preserve">章 </w:t>
      </w:r>
      <w:r>
        <w:rPr>
          <w:rFonts w:hint="eastAsia" w:ascii="宋体" w:hAnsi="宋体" w:cs="宋体"/>
          <w:color w:val="auto"/>
          <w:sz w:val="30"/>
          <w:szCs w:val="30"/>
          <w:highlight w:val="none"/>
        </w:rPr>
        <w:t>采购需求</w:t>
      </w:r>
      <w:r>
        <w:rPr>
          <w:rFonts w:hint="eastAsia" w:ascii="宋体" w:hAnsi="宋体" w:cs="宋体"/>
          <w:color w:val="auto"/>
          <w:sz w:val="30"/>
          <w:szCs w:val="30"/>
          <w:highlight w:val="none"/>
        </w:rPr>
        <w:tab/>
      </w:r>
      <w:r>
        <w:rPr>
          <w:rFonts w:hint="eastAsia" w:ascii="宋体" w:hAnsi="宋体" w:cs="宋体"/>
          <w:color w:val="auto"/>
          <w:sz w:val="30"/>
          <w:szCs w:val="30"/>
          <w:highlight w:val="none"/>
        </w:rPr>
        <w:t>4</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rPr>
        <w:t>1</w:t>
      </w:r>
    </w:p>
    <w:p w14:paraId="5E9D4DA1">
      <w:pPr>
        <w:pStyle w:val="238"/>
        <w:tabs>
          <w:tab w:val="right" w:leader="dot" w:pos="8193"/>
        </w:tabs>
        <w:rPr>
          <w:rFonts w:hint="eastAsia" w:ascii="宋体" w:hAnsi="宋体" w:cs="宋体"/>
          <w:color w:val="auto"/>
          <w:sz w:val="30"/>
          <w:szCs w:val="30"/>
          <w:highlight w:val="none"/>
        </w:rPr>
      </w:pPr>
      <w:r>
        <w:rPr>
          <w:color w:val="auto"/>
          <w:highlight w:val="none"/>
        </w:rPr>
        <w:fldChar w:fldCharType="begin"/>
      </w:r>
      <w:r>
        <w:rPr>
          <w:color w:val="auto"/>
          <w:highlight w:val="none"/>
        </w:rPr>
        <w:instrText xml:space="preserve"> HYPERLINK \l "_Toc6806" </w:instrText>
      </w:r>
      <w:r>
        <w:rPr>
          <w:color w:val="auto"/>
          <w:highlight w:val="none"/>
        </w:rPr>
        <w:fldChar w:fldCharType="separate"/>
      </w:r>
      <w:r>
        <w:rPr>
          <w:rFonts w:hint="eastAsia" w:ascii="宋体" w:hAnsi="宋体" w:cs="宋体"/>
          <w:color w:val="auto"/>
          <w:sz w:val="30"/>
          <w:szCs w:val="30"/>
          <w:highlight w:val="none"/>
          <w:lang w:val="zh-CN"/>
        </w:rPr>
        <w:t>第</w:t>
      </w:r>
      <w:r>
        <w:rPr>
          <w:rFonts w:hint="eastAsia" w:ascii="宋体" w:hAnsi="宋体" w:cs="宋体"/>
          <w:color w:val="auto"/>
          <w:sz w:val="30"/>
          <w:szCs w:val="30"/>
          <w:highlight w:val="none"/>
        </w:rPr>
        <w:t>五</w:t>
      </w:r>
      <w:r>
        <w:rPr>
          <w:rFonts w:hint="eastAsia" w:ascii="宋体" w:hAnsi="宋体" w:cs="宋体"/>
          <w:color w:val="auto"/>
          <w:sz w:val="30"/>
          <w:szCs w:val="30"/>
          <w:highlight w:val="none"/>
          <w:lang w:val="zh-CN"/>
        </w:rPr>
        <w:t>章 合同的主要条款</w:t>
      </w:r>
      <w:r>
        <w:rPr>
          <w:rFonts w:hint="eastAsia" w:ascii="宋体" w:hAnsi="宋体" w:cs="宋体"/>
          <w:color w:val="auto"/>
          <w:sz w:val="30"/>
          <w:szCs w:val="30"/>
          <w:highlight w:val="none"/>
        </w:rPr>
        <w:tab/>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rPr>
        <w:t>54</w:t>
      </w:r>
    </w:p>
    <w:p w14:paraId="53B80B61">
      <w:pPr>
        <w:pStyle w:val="238"/>
        <w:tabs>
          <w:tab w:val="right" w:leader="dot" w:pos="8193"/>
        </w:tabs>
        <w:rPr>
          <w:rFonts w:hint="eastAsia" w:ascii="宋体" w:hAnsi="宋体" w:cs="宋体"/>
          <w:color w:val="auto"/>
          <w:sz w:val="30"/>
          <w:szCs w:val="30"/>
          <w:highlight w:val="none"/>
        </w:rPr>
      </w:pPr>
      <w:r>
        <w:rPr>
          <w:color w:val="auto"/>
          <w:highlight w:val="none"/>
        </w:rPr>
        <w:fldChar w:fldCharType="begin"/>
      </w:r>
      <w:r>
        <w:rPr>
          <w:color w:val="auto"/>
          <w:highlight w:val="none"/>
        </w:rPr>
        <w:instrText xml:space="preserve"> HYPERLINK \l "_Toc3201" </w:instrText>
      </w:r>
      <w:r>
        <w:rPr>
          <w:color w:val="auto"/>
          <w:highlight w:val="none"/>
        </w:rPr>
        <w:fldChar w:fldCharType="separate"/>
      </w:r>
      <w:r>
        <w:rPr>
          <w:rFonts w:hint="eastAsia" w:ascii="宋体" w:hAnsi="宋体" w:cs="宋体"/>
          <w:color w:val="auto"/>
          <w:sz w:val="30"/>
          <w:szCs w:val="30"/>
          <w:highlight w:val="none"/>
          <w:lang w:val="zh-CN"/>
        </w:rPr>
        <w:t>第六章 评标办法及评分标准</w:t>
      </w:r>
      <w:r>
        <w:rPr>
          <w:rFonts w:hint="eastAsia" w:ascii="宋体" w:hAnsi="宋体" w:cs="宋体"/>
          <w:color w:val="auto"/>
          <w:sz w:val="30"/>
          <w:szCs w:val="30"/>
          <w:highlight w:val="none"/>
        </w:rPr>
        <w:tab/>
      </w:r>
      <w:r>
        <w:rPr>
          <w:rFonts w:hint="eastAsia" w:ascii="宋体" w:hAnsi="宋体" w:cs="宋体"/>
          <w:color w:val="auto"/>
          <w:sz w:val="30"/>
          <w:szCs w:val="30"/>
          <w:highlight w:val="none"/>
        </w:rPr>
        <w:t>61</w:t>
      </w:r>
      <w:r>
        <w:rPr>
          <w:rFonts w:hint="eastAsia" w:ascii="宋体" w:hAnsi="宋体" w:cs="宋体"/>
          <w:color w:val="auto"/>
          <w:sz w:val="30"/>
          <w:szCs w:val="30"/>
          <w:highlight w:val="none"/>
        </w:rPr>
        <w:fldChar w:fldCharType="end"/>
      </w:r>
    </w:p>
    <w:p w14:paraId="569965AC">
      <w:pPr>
        <w:spacing w:line="360" w:lineRule="auto"/>
        <w:rPr>
          <w:b/>
          <w:color w:val="auto"/>
          <w:szCs w:val="21"/>
          <w:highlight w:val="none"/>
        </w:rPr>
      </w:pPr>
      <w:r>
        <w:rPr>
          <w:rFonts w:hint="eastAsia" w:ascii="宋体" w:hAnsi="宋体" w:cs="宋体"/>
          <w:color w:val="auto"/>
          <w:sz w:val="30"/>
          <w:szCs w:val="30"/>
          <w:highlight w:val="none"/>
        </w:rPr>
        <w:fldChar w:fldCharType="end"/>
      </w:r>
    </w:p>
    <w:p w14:paraId="55DE64BB">
      <w:pPr>
        <w:pStyle w:val="39"/>
        <w:spacing w:after="312"/>
        <w:outlineLvl w:val="0"/>
        <w:rPr>
          <w:rFonts w:ascii="Times New Roman" w:hAnsi="Times New Roman"/>
          <w:color w:val="auto"/>
          <w:sz w:val="44"/>
          <w:szCs w:val="44"/>
          <w:highlight w:val="none"/>
        </w:rPr>
        <w:sectPr>
          <w:headerReference r:id="rId5" w:type="first"/>
          <w:headerReference r:id="rId4" w:type="default"/>
          <w:type w:val="continuous"/>
          <w:pgSz w:w="11906" w:h="16838"/>
          <w:pgMar w:top="1440" w:right="1558" w:bottom="1440" w:left="1588" w:header="794" w:footer="930" w:gutter="113"/>
          <w:pgNumType w:start="0"/>
          <w:cols w:space="720" w:num="1"/>
          <w:titlePg/>
          <w:docGrid w:linePitch="360" w:charSpace="0"/>
        </w:sectPr>
      </w:pPr>
      <w:bookmarkStart w:id="1" w:name="_Toc29131"/>
      <w:bookmarkStart w:id="2" w:name="_Toc10741"/>
      <w:bookmarkStart w:id="3" w:name="_Toc28173"/>
      <w:bookmarkStart w:id="4" w:name="_Toc61514581"/>
    </w:p>
    <w:p w14:paraId="4FCB2D54">
      <w:pPr>
        <w:pStyle w:val="39"/>
        <w:spacing w:after="312"/>
        <w:outlineLvl w:val="0"/>
        <w:rPr>
          <w:rFonts w:ascii="Times New Roman" w:hAnsi="Times New Roman"/>
          <w:color w:val="auto"/>
          <w:sz w:val="44"/>
          <w:szCs w:val="44"/>
          <w:highlight w:val="none"/>
        </w:rPr>
      </w:pPr>
      <w:r>
        <w:rPr>
          <w:rFonts w:ascii="Times New Roman" w:hAnsi="Times New Roman"/>
          <w:color w:val="auto"/>
          <w:sz w:val="44"/>
          <w:szCs w:val="44"/>
          <w:highlight w:val="none"/>
        </w:rPr>
        <w:t>第一章 邀请</w:t>
      </w:r>
      <w:bookmarkEnd w:id="1"/>
      <w:bookmarkEnd w:id="2"/>
      <w:bookmarkStart w:id="5" w:name="_Toc25453"/>
      <w:r>
        <w:rPr>
          <w:rFonts w:ascii="Times New Roman" w:hAnsi="Times New Roman"/>
          <w:color w:val="auto"/>
          <w:sz w:val="44"/>
          <w:szCs w:val="44"/>
          <w:highlight w:val="none"/>
        </w:rPr>
        <w:t>书</w:t>
      </w:r>
      <w:bookmarkEnd w:id="3"/>
      <w:bookmarkEnd w:id="4"/>
    </w:p>
    <w:p w14:paraId="4096CFB9">
      <w:pPr>
        <w:widowControl/>
        <w:spacing w:line="440" w:lineRule="exact"/>
        <w:ind w:firstLine="426"/>
        <w:rPr>
          <w:color w:val="auto"/>
          <w:szCs w:val="21"/>
          <w:highlight w:val="none"/>
        </w:rPr>
      </w:pPr>
      <w:r>
        <w:rPr>
          <w:color w:val="auto"/>
          <w:szCs w:val="21"/>
          <w:highlight w:val="none"/>
        </w:rPr>
        <w:t>受</w:t>
      </w:r>
      <w:r>
        <w:rPr>
          <w:rFonts w:hint="eastAsia"/>
          <w:color w:val="auto"/>
          <w:szCs w:val="21"/>
          <w:highlight w:val="none"/>
        </w:rPr>
        <w:t>苏州市吴江区精神康复医院</w:t>
      </w:r>
      <w:r>
        <w:rPr>
          <w:color w:val="auto"/>
          <w:szCs w:val="21"/>
          <w:highlight w:val="none"/>
        </w:rPr>
        <w:t>的委托，苏州鼎力招投标咨询服务有限公司就其所需的</w:t>
      </w:r>
      <w:r>
        <w:rPr>
          <w:rFonts w:hint="eastAsia"/>
          <w:color w:val="auto"/>
          <w:szCs w:val="21"/>
          <w:highlight w:val="none"/>
        </w:rPr>
        <w:t>苏州市吴江区精神康复医院医疗辅助服务</w:t>
      </w:r>
      <w:r>
        <w:rPr>
          <w:color w:val="auto"/>
          <w:szCs w:val="21"/>
          <w:highlight w:val="none"/>
        </w:rPr>
        <w:t>采用</w:t>
      </w:r>
      <w:r>
        <w:rPr>
          <w:rFonts w:hint="eastAsia"/>
          <w:color w:val="auto"/>
          <w:szCs w:val="21"/>
          <w:highlight w:val="none"/>
        </w:rPr>
        <w:t>公开招标</w:t>
      </w:r>
      <w:r>
        <w:rPr>
          <w:color w:val="auto"/>
          <w:szCs w:val="21"/>
          <w:highlight w:val="none"/>
        </w:rPr>
        <w:t>方式进行采购，欢迎符合资格条件的供应商前来参加。</w:t>
      </w:r>
    </w:p>
    <w:p w14:paraId="74ABCEBC">
      <w:pPr>
        <w:spacing w:line="440" w:lineRule="exact"/>
        <w:ind w:firstLine="422"/>
        <w:rPr>
          <w:b/>
          <w:bCs/>
          <w:color w:val="auto"/>
          <w:szCs w:val="21"/>
          <w:highlight w:val="none"/>
        </w:rPr>
      </w:pPr>
      <w:r>
        <w:rPr>
          <w:b/>
          <w:bCs/>
          <w:color w:val="auto"/>
          <w:szCs w:val="21"/>
          <w:highlight w:val="none"/>
        </w:rPr>
        <w:t>一、项目基本情况</w:t>
      </w:r>
    </w:p>
    <w:p w14:paraId="7E26FD07">
      <w:pPr>
        <w:numPr>
          <w:ilvl w:val="0"/>
          <w:numId w:val="2"/>
        </w:numPr>
        <w:spacing w:line="440" w:lineRule="exact"/>
        <w:ind w:left="425" w:hanging="5"/>
        <w:rPr>
          <w:rFonts w:hint="eastAsia" w:ascii="宋体" w:hAnsi="宋体" w:cs="宋体"/>
          <w:color w:val="auto"/>
          <w:highlight w:val="none"/>
        </w:rPr>
      </w:pPr>
      <w:r>
        <w:rPr>
          <w:b/>
          <w:bCs/>
          <w:color w:val="auto"/>
          <w:szCs w:val="21"/>
          <w:highlight w:val="none"/>
        </w:rPr>
        <w:t>项目编号：</w:t>
      </w:r>
      <w:r>
        <w:rPr>
          <w:rFonts w:hint="eastAsia"/>
          <w:color w:val="auto"/>
          <w:szCs w:val="21"/>
          <w:highlight w:val="none"/>
        </w:rPr>
        <w:t>JSZC-320509-DLZB-G2025-0046</w:t>
      </w:r>
      <w:r>
        <w:rPr>
          <w:rFonts w:hint="eastAsia" w:ascii="宋体" w:hAnsi="宋体" w:cs="宋体"/>
          <w:color w:val="auto"/>
          <w:highlight w:val="none"/>
        </w:rPr>
        <w:t xml:space="preserve">      </w:t>
      </w:r>
    </w:p>
    <w:p w14:paraId="38C5E3C3">
      <w:pPr>
        <w:numPr>
          <w:ilvl w:val="0"/>
          <w:numId w:val="2"/>
        </w:numPr>
        <w:spacing w:line="440" w:lineRule="exact"/>
        <w:ind w:left="425" w:hanging="5"/>
        <w:rPr>
          <w:color w:val="auto"/>
          <w:szCs w:val="21"/>
          <w:highlight w:val="none"/>
        </w:rPr>
      </w:pPr>
      <w:r>
        <w:rPr>
          <w:b/>
          <w:bCs/>
          <w:color w:val="auto"/>
          <w:szCs w:val="21"/>
          <w:highlight w:val="none"/>
        </w:rPr>
        <w:t>项目名称：</w:t>
      </w:r>
      <w:r>
        <w:rPr>
          <w:rFonts w:hint="eastAsia"/>
          <w:color w:val="auto"/>
          <w:szCs w:val="21"/>
          <w:highlight w:val="none"/>
        </w:rPr>
        <w:t xml:space="preserve">苏州市吴江区精神康复医院医疗辅助服务       </w:t>
      </w:r>
    </w:p>
    <w:p w14:paraId="1ABF912D">
      <w:pPr>
        <w:numPr>
          <w:ilvl w:val="0"/>
          <w:numId w:val="2"/>
        </w:numPr>
        <w:spacing w:line="440" w:lineRule="exact"/>
        <w:ind w:left="425" w:hanging="5"/>
        <w:rPr>
          <w:color w:val="auto"/>
          <w:szCs w:val="21"/>
          <w:highlight w:val="none"/>
        </w:rPr>
      </w:pPr>
      <w:r>
        <w:rPr>
          <w:b/>
          <w:bCs/>
          <w:color w:val="auto"/>
          <w:szCs w:val="21"/>
          <w:highlight w:val="none"/>
        </w:rPr>
        <w:t>预算金额：</w:t>
      </w:r>
      <w:r>
        <w:rPr>
          <w:rFonts w:hint="eastAsia" w:ascii="宋体" w:hAnsi="宋体" w:cs="宋体"/>
          <w:color w:val="auto"/>
          <w:szCs w:val="21"/>
          <w:highlight w:val="none"/>
        </w:rPr>
        <w:t>人民币伍佰玖拾贰万元整（小写：5920000.00元）</w:t>
      </w:r>
      <w:r>
        <w:rPr>
          <w:rFonts w:hint="eastAsia"/>
          <w:color w:val="auto"/>
          <w:szCs w:val="21"/>
          <w:highlight w:val="none"/>
        </w:rPr>
        <w:t xml:space="preserve">    </w:t>
      </w:r>
    </w:p>
    <w:p w14:paraId="42311CF3">
      <w:pPr>
        <w:numPr>
          <w:ilvl w:val="0"/>
          <w:numId w:val="2"/>
        </w:numPr>
        <w:spacing w:line="440" w:lineRule="exact"/>
        <w:ind w:left="425" w:hanging="5"/>
        <w:rPr>
          <w:color w:val="auto"/>
          <w:szCs w:val="21"/>
          <w:highlight w:val="none"/>
        </w:rPr>
      </w:pPr>
      <w:r>
        <w:rPr>
          <w:rFonts w:hint="eastAsia"/>
          <w:b/>
          <w:bCs/>
          <w:color w:val="auto"/>
          <w:szCs w:val="21"/>
          <w:highlight w:val="none"/>
        </w:rPr>
        <w:t>最高限价：</w:t>
      </w:r>
      <w:r>
        <w:rPr>
          <w:rFonts w:hint="eastAsia" w:ascii="宋体" w:hAnsi="宋体" w:cs="宋体"/>
          <w:color w:val="auto"/>
          <w:szCs w:val="21"/>
          <w:highlight w:val="none"/>
        </w:rPr>
        <w:t>人民币伍佰玖拾贰万元整（小写：5920000.00元）</w:t>
      </w:r>
      <w:r>
        <w:rPr>
          <w:rFonts w:hint="eastAsia"/>
          <w:color w:val="auto"/>
          <w:szCs w:val="21"/>
          <w:highlight w:val="none"/>
        </w:rPr>
        <w:t xml:space="preserve">       </w:t>
      </w:r>
    </w:p>
    <w:p w14:paraId="7130798E">
      <w:pPr>
        <w:numPr>
          <w:ilvl w:val="0"/>
          <w:numId w:val="2"/>
        </w:numPr>
        <w:spacing w:line="440" w:lineRule="exact"/>
        <w:ind w:left="425" w:hanging="5"/>
        <w:rPr>
          <w:color w:val="auto"/>
          <w:szCs w:val="21"/>
          <w:highlight w:val="none"/>
        </w:rPr>
      </w:pPr>
      <w:r>
        <w:rPr>
          <w:rFonts w:hint="eastAsia"/>
          <w:b/>
          <w:bCs/>
          <w:color w:val="auto"/>
          <w:szCs w:val="21"/>
          <w:highlight w:val="none"/>
        </w:rPr>
        <w:t>采购标的所属行业：</w:t>
      </w:r>
      <w:r>
        <w:rPr>
          <w:rFonts w:hint="eastAsia"/>
          <w:color w:val="auto"/>
          <w:szCs w:val="21"/>
          <w:highlight w:val="none"/>
        </w:rPr>
        <w:t>租赁和商务服务业</w:t>
      </w:r>
    </w:p>
    <w:p w14:paraId="6BB43046">
      <w:pPr>
        <w:numPr>
          <w:ilvl w:val="0"/>
          <w:numId w:val="2"/>
        </w:numPr>
        <w:spacing w:line="440" w:lineRule="exact"/>
        <w:ind w:left="5" w:firstLine="415"/>
        <w:rPr>
          <w:b/>
          <w:bCs/>
          <w:color w:val="auto"/>
          <w:szCs w:val="21"/>
          <w:highlight w:val="none"/>
        </w:rPr>
      </w:pPr>
      <w:r>
        <w:rPr>
          <w:rFonts w:hint="eastAsia"/>
          <w:b/>
          <w:bCs/>
          <w:color w:val="auto"/>
          <w:szCs w:val="21"/>
          <w:highlight w:val="none"/>
        </w:rPr>
        <w:t>采购需求：</w:t>
      </w:r>
    </w:p>
    <w:p w14:paraId="7AACD8A6">
      <w:pPr>
        <w:pStyle w:val="34"/>
        <w:spacing w:line="40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1、项目概述：全年365天不间断提供服务，共计两年，包括处理各项突发事件及紧急任务；负责对招标人病区内病员的护理服务、医院食堂及医院的环境消杀服务。</w:t>
      </w:r>
    </w:p>
    <w:p w14:paraId="540055CF">
      <w:pPr>
        <w:pStyle w:val="34"/>
        <w:spacing w:line="40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本项目所需的护工是为精神康复病人提供服务的，由于病人存在一定的不可确定性和特殊性，请各投标人慎重考虑。</w:t>
      </w:r>
    </w:p>
    <w:p w14:paraId="2BE8C9A1">
      <w:pPr>
        <w:pStyle w:val="34"/>
        <w:numPr>
          <w:ilvl w:val="0"/>
          <w:numId w:val="3"/>
        </w:numPr>
        <w:spacing w:line="40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岗位人员明细表：</w:t>
      </w:r>
    </w:p>
    <w:tbl>
      <w:tblPr>
        <w:tblStyle w:val="43"/>
        <w:tblW w:w="8823" w:type="dxa"/>
        <w:tblInd w:w="93" w:type="dxa"/>
        <w:tblLayout w:type="autofit"/>
        <w:tblCellMar>
          <w:top w:w="0" w:type="dxa"/>
          <w:left w:w="108" w:type="dxa"/>
          <w:bottom w:w="0" w:type="dxa"/>
          <w:right w:w="108" w:type="dxa"/>
        </w:tblCellMar>
      </w:tblPr>
      <w:tblGrid>
        <w:gridCol w:w="573"/>
        <w:gridCol w:w="1125"/>
        <w:gridCol w:w="1110"/>
        <w:gridCol w:w="1410"/>
        <w:gridCol w:w="960"/>
        <w:gridCol w:w="1350"/>
        <w:gridCol w:w="2295"/>
      </w:tblGrid>
      <w:tr w14:paraId="18AD310A">
        <w:tblPrEx>
          <w:tblCellMar>
            <w:top w:w="0" w:type="dxa"/>
            <w:left w:w="108" w:type="dxa"/>
            <w:bottom w:w="0" w:type="dxa"/>
            <w:right w:w="108" w:type="dxa"/>
          </w:tblCellMar>
        </w:tblPrEx>
        <w:trPr>
          <w:trHeight w:val="1180" w:hRule="atLeast"/>
        </w:trPr>
        <w:tc>
          <w:tcPr>
            <w:tcW w:w="573" w:type="dxa"/>
            <w:tcBorders>
              <w:top w:val="single" w:color="000000" w:sz="4" w:space="0"/>
              <w:left w:val="single" w:color="000000" w:sz="4" w:space="0"/>
              <w:bottom w:val="single" w:color="000000" w:sz="4" w:space="0"/>
              <w:right w:val="single" w:color="000000" w:sz="4" w:space="0"/>
            </w:tcBorders>
            <w:vAlign w:val="center"/>
          </w:tcPr>
          <w:p w14:paraId="1C8C00C1">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序号</w:t>
            </w:r>
          </w:p>
        </w:tc>
        <w:tc>
          <w:tcPr>
            <w:tcW w:w="1125" w:type="dxa"/>
            <w:tcBorders>
              <w:top w:val="single" w:color="000000" w:sz="4" w:space="0"/>
              <w:left w:val="single" w:color="000000" w:sz="4" w:space="0"/>
              <w:bottom w:val="single" w:color="000000" w:sz="4" w:space="0"/>
              <w:right w:val="single" w:color="000000" w:sz="4" w:space="0"/>
            </w:tcBorders>
            <w:vAlign w:val="center"/>
          </w:tcPr>
          <w:p w14:paraId="4205A8BB">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岗位</w:t>
            </w:r>
          </w:p>
        </w:tc>
        <w:tc>
          <w:tcPr>
            <w:tcW w:w="1110" w:type="dxa"/>
            <w:tcBorders>
              <w:top w:val="single" w:color="000000" w:sz="4" w:space="0"/>
              <w:left w:val="single" w:color="000000" w:sz="4" w:space="0"/>
              <w:bottom w:val="single" w:color="000000" w:sz="4" w:space="0"/>
              <w:right w:val="single" w:color="000000" w:sz="4" w:space="0"/>
            </w:tcBorders>
            <w:vAlign w:val="center"/>
          </w:tcPr>
          <w:p w14:paraId="6E26E5BF">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设置人数（人）</w:t>
            </w:r>
          </w:p>
        </w:tc>
        <w:tc>
          <w:tcPr>
            <w:tcW w:w="1410" w:type="dxa"/>
            <w:tcBorders>
              <w:top w:val="single" w:color="000000" w:sz="4" w:space="0"/>
              <w:left w:val="single" w:color="000000" w:sz="4" w:space="0"/>
              <w:bottom w:val="single" w:color="000000" w:sz="4" w:space="0"/>
              <w:right w:val="single" w:color="000000" w:sz="4" w:space="0"/>
            </w:tcBorders>
            <w:vAlign w:val="center"/>
          </w:tcPr>
          <w:p w14:paraId="6548CC17">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具体岗位</w:t>
            </w:r>
          </w:p>
        </w:tc>
        <w:tc>
          <w:tcPr>
            <w:tcW w:w="960" w:type="dxa"/>
            <w:tcBorders>
              <w:top w:val="single" w:color="000000" w:sz="4" w:space="0"/>
              <w:left w:val="single" w:color="000000" w:sz="4" w:space="0"/>
              <w:bottom w:val="single" w:color="000000" w:sz="4" w:space="0"/>
              <w:right w:val="single" w:color="000000" w:sz="4" w:space="0"/>
            </w:tcBorders>
            <w:vAlign w:val="center"/>
          </w:tcPr>
          <w:p w14:paraId="34CA8A5D">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人数（人）</w:t>
            </w:r>
          </w:p>
        </w:tc>
        <w:tc>
          <w:tcPr>
            <w:tcW w:w="1350" w:type="dxa"/>
            <w:tcBorders>
              <w:top w:val="single" w:color="000000" w:sz="4" w:space="0"/>
              <w:left w:val="single" w:color="000000" w:sz="4" w:space="0"/>
              <w:bottom w:val="single" w:color="000000" w:sz="4" w:space="0"/>
              <w:right w:val="single" w:color="000000" w:sz="4" w:space="0"/>
            </w:tcBorders>
            <w:vAlign w:val="center"/>
          </w:tcPr>
          <w:p w14:paraId="592ADCDD">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周工作时间（天/岗）</w:t>
            </w:r>
          </w:p>
        </w:tc>
        <w:tc>
          <w:tcPr>
            <w:tcW w:w="2295" w:type="dxa"/>
            <w:tcBorders>
              <w:top w:val="single" w:color="000000" w:sz="4" w:space="0"/>
              <w:left w:val="single" w:color="000000" w:sz="4" w:space="0"/>
              <w:bottom w:val="single" w:color="000000" w:sz="4" w:space="0"/>
              <w:right w:val="single" w:color="000000" w:sz="4" w:space="0"/>
            </w:tcBorders>
            <w:vAlign w:val="center"/>
          </w:tcPr>
          <w:p w14:paraId="5C67E446">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备注</w:t>
            </w:r>
          </w:p>
        </w:tc>
      </w:tr>
      <w:tr w14:paraId="37A9BB25">
        <w:tblPrEx>
          <w:tblCellMar>
            <w:top w:w="0" w:type="dxa"/>
            <w:left w:w="108" w:type="dxa"/>
            <w:bottom w:w="0" w:type="dxa"/>
            <w:right w:w="108" w:type="dxa"/>
          </w:tblCellMar>
        </w:tblPrEx>
        <w:trPr>
          <w:trHeight w:val="660" w:hRule="atLeast"/>
        </w:trPr>
        <w:tc>
          <w:tcPr>
            <w:tcW w:w="573" w:type="dxa"/>
            <w:vMerge w:val="restart"/>
            <w:tcBorders>
              <w:top w:val="single" w:color="000000" w:sz="4" w:space="0"/>
              <w:left w:val="single" w:color="000000" w:sz="4" w:space="0"/>
              <w:bottom w:val="single" w:color="000000" w:sz="4" w:space="0"/>
              <w:right w:val="single" w:color="000000" w:sz="4" w:space="0"/>
            </w:tcBorders>
            <w:vAlign w:val="center"/>
          </w:tcPr>
          <w:p w14:paraId="473F1DC8">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1</w:t>
            </w:r>
          </w:p>
        </w:tc>
        <w:tc>
          <w:tcPr>
            <w:tcW w:w="1125" w:type="dxa"/>
            <w:vMerge w:val="restart"/>
            <w:tcBorders>
              <w:top w:val="single" w:color="000000" w:sz="4" w:space="0"/>
              <w:left w:val="single" w:color="000000" w:sz="4" w:space="0"/>
              <w:bottom w:val="single" w:color="000000" w:sz="4" w:space="0"/>
              <w:right w:val="single" w:color="000000" w:sz="4" w:space="0"/>
            </w:tcBorders>
            <w:vAlign w:val="center"/>
          </w:tcPr>
          <w:p w14:paraId="5B6650A1">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办公室</w:t>
            </w:r>
          </w:p>
        </w:tc>
        <w:tc>
          <w:tcPr>
            <w:tcW w:w="1110" w:type="dxa"/>
            <w:vMerge w:val="restart"/>
            <w:tcBorders>
              <w:top w:val="single" w:color="000000" w:sz="4" w:space="0"/>
              <w:left w:val="single" w:color="000000" w:sz="4" w:space="0"/>
              <w:bottom w:val="single" w:color="000000" w:sz="4" w:space="0"/>
              <w:right w:val="single" w:color="000000" w:sz="4" w:space="0"/>
            </w:tcBorders>
            <w:vAlign w:val="center"/>
          </w:tcPr>
          <w:p w14:paraId="7F301B8F">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3</w:t>
            </w:r>
          </w:p>
        </w:tc>
        <w:tc>
          <w:tcPr>
            <w:tcW w:w="1410" w:type="dxa"/>
            <w:tcBorders>
              <w:top w:val="single" w:color="000000" w:sz="4" w:space="0"/>
              <w:left w:val="single" w:color="000000" w:sz="4" w:space="0"/>
              <w:bottom w:val="single" w:color="000000" w:sz="4" w:space="0"/>
              <w:right w:val="single" w:color="000000" w:sz="4" w:space="0"/>
            </w:tcBorders>
            <w:vAlign w:val="center"/>
          </w:tcPr>
          <w:p w14:paraId="739E2C71">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项目经理</w:t>
            </w:r>
          </w:p>
        </w:tc>
        <w:tc>
          <w:tcPr>
            <w:tcW w:w="960" w:type="dxa"/>
            <w:tcBorders>
              <w:top w:val="single" w:color="000000" w:sz="4" w:space="0"/>
              <w:left w:val="single" w:color="000000" w:sz="4" w:space="0"/>
              <w:bottom w:val="single" w:color="000000" w:sz="4" w:space="0"/>
              <w:right w:val="single" w:color="000000" w:sz="4" w:space="0"/>
            </w:tcBorders>
            <w:vAlign w:val="center"/>
          </w:tcPr>
          <w:p w14:paraId="161BCFAF">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1</w:t>
            </w:r>
          </w:p>
        </w:tc>
        <w:tc>
          <w:tcPr>
            <w:tcW w:w="1350" w:type="dxa"/>
            <w:tcBorders>
              <w:top w:val="single" w:color="000000" w:sz="4" w:space="0"/>
              <w:left w:val="single" w:color="000000" w:sz="4" w:space="0"/>
              <w:bottom w:val="single" w:color="000000" w:sz="4" w:space="0"/>
              <w:right w:val="single" w:color="000000" w:sz="4" w:space="0"/>
            </w:tcBorders>
            <w:vAlign w:val="center"/>
          </w:tcPr>
          <w:p w14:paraId="43FB1DF4">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5</w:t>
            </w:r>
          </w:p>
        </w:tc>
        <w:tc>
          <w:tcPr>
            <w:tcW w:w="2295" w:type="dxa"/>
            <w:tcBorders>
              <w:top w:val="single" w:color="000000" w:sz="4" w:space="0"/>
              <w:left w:val="single" w:color="000000" w:sz="4" w:space="0"/>
              <w:bottom w:val="single" w:color="000000" w:sz="4" w:space="0"/>
              <w:right w:val="single" w:color="000000" w:sz="4" w:space="0"/>
            </w:tcBorders>
            <w:vAlign w:val="center"/>
          </w:tcPr>
          <w:p w14:paraId="13B8E805">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工作日白班8小时</w:t>
            </w:r>
          </w:p>
        </w:tc>
      </w:tr>
      <w:tr w14:paraId="272A0B00">
        <w:tblPrEx>
          <w:tblCellMar>
            <w:top w:w="0" w:type="dxa"/>
            <w:left w:w="108" w:type="dxa"/>
            <w:bottom w:w="0" w:type="dxa"/>
            <w:right w:w="108" w:type="dxa"/>
          </w:tblCellMar>
        </w:tblPrEx>
        <w:trPr>
          <w:trHeight w:val="660" w:hRule="atLeast"/>
        </w:trPr>
        <w:tc>
          <w:tcPr>
            <w:tcW w:w="573" w:type="dxa"/>
            <w:vMerge w:val="continue"/>
            <w:tcBorders>
              <w:top w:val="single" w:color="000000" w:sz="4" w:space="0"/>
              <w:left w:val="single" w:color="000000" w:sz="4" w:space="0"/>
              <w:bottom w:val="single" w:color="000000" w:sz="4" w:space="0"/>
              <w:right w:val="single" w:color="000000" w:sz="4" w:space="0"/>
            </w:tcBorders>
            <w:vAlign w:val="center"/>
          </w:tcPr>
          <w:p w14:paraId="057D3E2E">
            <w:pPr>
              <w:jc w:val="center"/>
              <w:rPr>
                <w:rFonts w:hint="eastAsia" w:ascii="宋体" w:hAnsi="宋体" w:cs="宋体"/>
                <w:color w:val="auto"/>
                <w:szCs w:val="21"/>
                <w:highlight w:val="none"/>
              </w:rPr>
            </w:pPr>
          </w:p>
        </w:tc>
        <w:tc>
          <w:tcPr>
            <w:tcW w:w="1125" w:type="dxa"/>
            <w:vMerge w:val="continue"/>
            <w:tcBorders>
              <w:top w:val="single" w:color="000000" w:sz="4" w:space="0"/>
              <w:left w:val="single" w:color="000000" w:sz="4" w:space="0"/>
              <w:bottom w:val="single" w:color="000000" w:sz="4" w:space="0"/>
              <w:right w:val="single" w:color="000000" w:sz="4" w:space="0"/>
            </w:tcBorders>
            <w:vAlign w:val="center"/>
          </w:tcPr>
          <w:p w14:paraId="30C725FB">
            <w:pPr>
              <w:jc w:val="center"/>
              <w:rPr>
                <w:rFonts w:hint="eastAsia" w:ascii="宋体" w:hAnsi="宋体" w:cs="宋体"/>
                <w:color w:val="auto"/>
                <w:szCs w:val="21"/>
                <w:highlight w:val="none"/>
              </w:rPr>
            </w:pPr>
          </w:p>
        </w:tc>
        <w:tc>
          <w:tcPr>
            <w:tcW w:w="1110" w:type="dxa"/>
            <w:vMerge w:val="continue"/>
            <w:tcBorders>
              <w:top w:val="single" w:color="000000" w:sz="4" w:space="0"/>
              <w:left w:val="single" w:color="000000" w:sz="4" w:space="0"/>
              <w:bottom w:val="single" w:color="000000" w:sz="4" w:space="0"/>
              <w:right w:val="single" w:color="000000" w:sz="4" w:space="0"/>
            </w:tcBorders>
            <w:vAlign w:val="center"/>
          </w:tcPr>
          <w:p w14:paraId="6308DBA8">
            <w:pPr>
              <w:jc w:val="center"/>
              <w:rPr>
                <w:rFonts w:hint="eastAsia" w:ascii="宋体" w:hAnsi="宋体" w:cs="宋体"/>
                <w:color w:val="auto"/>
                <w:szCs w:val="21"/>
                <w:highlight w:val="none"/>
              </w:rPr>
            </w:pPr>
          </w:p>
        </w:tc>
        <w:tc>
          <w:tcPr>
            <w:tcW w:w="1410" w:type="dxa"/>
            <w:tcBorders>
              <w:top w:val="single" w:color="000000" w:sz="4" w:space="0"/>
              <w:left w:val="single" w:color="000000" w:sz="4" w:space="0"/>
              <w:bottom w:val="single" w:color="000000" w:sz="4" w:space="0"/>
              <w:right w:val="single" w:color="000000" w:sz="4" w:space="0"/>
            </w:tcBorders>
            <w:vAlign w:val="center"/>
          </w:tcPr>
          <w:p w14:paraId="65DFB530">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病区主管</w:t>
            </w:r>
          </w:p>
        </w:tc>
        <w:tc>
          <w:tcPr>
            <w:tcW w:w="960" w:type="dxa"/>
            <w:tcBorders>
              <w:top w:val="single" w:color="000000" w:sz="4" w:space="0"/>
              <w:left w:val="single" w:color="000000" w:sz="4" w:space="0"/>
              <w:bottom w:val="single" w:color="000000" w:sz="4" w:space="0"/>
              <w:right w:val="single" w:color="000000" w:sz="4" w:space="0"/>
            </w:tcBorders>
            <w:vAlign w:val="center"/>
          </w:tcPr>
          <w:p w14:paraId="5236E7A0">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1</w:t>
            </w:r>
          </w:p>
        </w:tc>
        <w:tc>
          <w:tcPr>
            <w:tcW w:w="1350" w:type="dxa"/>
            <w:tcBorders>
              <w:top w:val="single" w:color="000000" w:sz="4" w:space="0"/>
              <w:left w:val="single" w:color="000000" w:sz="4" w:space="0"/>
              <w:bottom w:val="single" w:color="000000" w:sz="4" w:space="0"/>
              <w:right w:val="single" w:color="000000" w:sz="4" w:space="0"/>
            </w:tcBorders>
            <w:vAlign w:val="center"/>
          </w:tcPr>
          <w:p w14:paraId="1F60C243">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5</w:t>
            </w:r>
          </w:p>
        </w:tc>
        <w:tc>
          <w:tcPr>
            <w:tcW w:w="2295" w:type="dxa"/>
            <w:tcBorders>
              <w:top w:val="single" w:color="000000" w:sz="4" w:space="0"/>
              <w:left w:val="single" w:color="000000" w:sz="4" w:space="0"/>
              <w:bottom w:val="single" w:color="000000" w:sz="4" w:space="0"/>
              <w:right w:val="single" w:color="000000" w:sz="4" w:space="0"/>
            </w:tcBorders>
            <w:vAlign w:val="center"/>
          </w:tcPr>
          <w:p w14:paraId="5E0955B6">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工作日白班8小时</w:t>
            </w:r>
          </w:p>
        </w:tc>
      </w:tr>
      <w:tr w14:paraId="41115F6A">
        <w:tblPrEx>
          <w:tblCellMar>
            <w:top w:w="0" w:type="dxa"/>
            <w:left w:w="108" w:type="dxa"/>
            <w:bottom w:w="0" w:type="dxa"/>
            <w:right w:w="108" w:type="dxa"/>
          </w:tblCellMar>
        </w:tblPrEx>
        <w:trPr>
          <w:trHeight w:val="660" w:hRule="atLeast"/>
        </w:trPr>
        <w:tc>
          <w:tcPr>
            <w:tcW w:w="573" w:type="dxa"/>
            <w:vMerge w:val="continue"/>
            <w:tcBorders>
              <w:top w:val="single" w:color="000000" w:sz="4" w:space="0"/>
              <w:left w:val="single" w:color="000000" w:sz="4" w:space="0"/>
              <w:bottom w:val="single" w:color="000000" w:sz="4" w:space="0"/>
              <w:right w:val="single" w:color="000000" w:sz="4" w:space="0"/>
            </w:tcBorders>
            <w:vAlign w:val="center"/>
          </w:tcPr>
          <w:p w14:paraId="12F4B759">
            <w:pPr>
              <w:jc w:val="center"/>
              <w:rPr>
                <w:rFonts w:hint="eastAsia" w:ascii="宋体" w:hAnsi="宋体" w:cs="宋体"/>
                <w:color w:val="auto"/>
                <w:szCs w:val="21"/>
                <w:highlight w:val="none"/>
              </w:rPr>
            </w:pPr>
          </w:p>
        </w:tc>
        <w:tc>
          <w:tcPr>
            <w:tcW w:w="1125" w:type="dxa"/>
            <w:vMerge w:val="continue"/>
            <w:tcBorders>
              <w:top w:val="single" w:color="000000" w:sz="4" w:space="0"/>
              <w:left w:val="single" w:color="000000" w:sz="4" w:space="0"/>
              <w:bottom w:val="single" w:color="000000" w:sz="4" w:space="0"/>
              <w:right w:val="single" w:color="000000" w:sz="4" w:space="0"/>
            </w:tcBorders>
            <w:vAlign w:val="center"/>
          </w:tcPr>
          <w:p w14:paraId="512A9B96">
            <w:pPr>
              <w:jc w:val="center"/>
              <w:rPr>
                <w:rFonts w:hint="eastAsia" w:ascii="宋体" w:hAnsi="宋体" w:cs="宋体"/>
                <w:color w:val="auto"/>
                <w:szCs w:val="21"/>
                <w:highlight w:val="none"/>
              </w:rPr>
            </w:pPr>
          </w:p>
        </w:tc>
        <w:tc>
          <w:tcPr>
            <w:tcW w:w="1110" w:type="dxa"/>
            <w:vMerge w:val="continue"/>
            <w:tcBorders>
              <w:top w:val="single" w:color="000000" w:sz="4" w:space="0"/>
              <w:left w:val="single" w:color="000000" w:sz="4" w:space="0"/>
              <w:bottom w:val="single" w:color="000000" w:sz="4" w:space="0"/>
              <w:right w:val="single" w:color="000000" w:sz="4" w:space="0"/>
            </w:tcBorders>
            <w:vAlign w:val="center"/>
          </w:tcPr>
          <w:p w14:paraId="6A9FA38E">
            <w:pPr>
              <w:jc w:val="center"/>
              <w:rPr>
                <w:rFonts w:hint="eastAsia" w:ascii="宋体" w:hAnsi="宋体" w:cs="宋体"/>
                <w:color w:val="auto"/>
                <w:szCs w:val="21"/>
                <w:highlight w:val="none"/>
              </w:rPr>
            </w:pPr>
          </w:p>
        </w:tc>
        <w:tc>
          <w:tcPr>
            <w:tcW w:w="1410" w:type="dxa"/>
            <w:tcBorders>
              <w:top w:val="single" w:color="000000" w:sz="4" w:space="0"/>
              <w:left w:val="single" w:color="000000" w:sz="4" w:space="0"/>
              <w:bottom w:val="single" w:color="000000" w:sz="4" w:space="0"/>
              <w:right w:val="single" w:color="000000" w:sz="4" w:space="0"/>
            </w:tcBorders>
            <w:vAlign w:val="center"/>
          </w:tcPr>
          <w:p w14:paraId="0952652B">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文员</w:t>
            </w:r>
          </w:p>
        </w:tc>
        <w:tc>
          <w:tcPr>
            <w:tcW w:w="960" w:type="dxa"/>
            <w:tcBorders>
              <w:top w:val="single" w:color="000000" w:sz="4" w:space="0"/>
              <w:left w:val="single" w:color="000000" w:sz="4" w:space="0"/>
              <w:bottom w:val="single" w:color="000000" w:sz="4" w:space="0"/>
              <w:right w:val="single" w:color="000000" w:sz="4" w:space="0"/>
            </w:tcBorders>
            <w:vAlign w:val="center"/>
          </w:tcPr>
          <w:p w14:paraId="38FFC949">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1</w:t>
            </w:r>
          </w:p>
        </w:tc>
        <w:tc>
          <w:tcPr>
            <w:tcW w:w="1350" w:type="dxa"/>
            <w:tcBorders>
              <w:top w:val="single" w:color="000000" w:sz="4" w:space="0"/>
              <w:left w:val="single" w:color="000000" w:sz="4" w:space="0"/>
              <w:bottom w:val="single" w:color="000000" w:sz="4" w:space="0"/>
              <w:right w:val="single" w:color="000000" w:sz="4" w:space="0"/>
            </w:tcBorders>
            <w:vAlign w:val="center"/>
          </w:tcPr>
          <w:p w14:paraId="47D9C4DE">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5</w:t>
            </w:r>
          </w:p>
        </w:tc>
        <w:tc>
          <w:tcPr>
            <w:tcW w:w="2295" w:type="dxa"/>
            <w:tcBorders>
              <w:top w:val="single" w:color="000000" w:sz="4" w:space="0"/>
              <w:left w:val="single" w:color="000000" w:sz="4" w:space="0"/>
              <w:bottom w:val="single" w:color="000000" w:sz="4" w:space="0"/>
              <w:right w:val="single" w:color="000000" w:sz="4" w:space="0"/>
            </w:tcBorders>
            <w:vAlign w:val="center"/>
          </w:tcPr>
          <w:p w14:paraId="08626034">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工作日白班8小时</w:t>
            </w:r>
          </w:p>
        </w:tc>
      </w:tr>
      <w:tr w14:paraId="0758FEB7">
        <w:tblPrEx>
          <w:tblCellMar>
            <w:top w:w="0" w:type="dxa"/>
            <w:left w:w="108" w:type="dxa"/>
            <w:bottom w:w="0" w:type="dxa"/>
            <w:right w:w="108" w:type="dxa"/>
          </w:tblCellMar>
        </w:tblPrEx>
        <w:trPr>
          <w:trHeight w:val="660" w:hRule="atLeast"/>
        </w:trPr>
        <w:tc>
          <w:tcPr>
            <w:tcW w:w="573" w:type="dxa"/>
            <w:vMerge w:val="restart"/>
            <w:tcBorders>
              <w:top w:val="single" w:color="000000" w:sz="4" w:space="0"/>
              <w:left w:val="single" w:color="000000" w:sz="4" w:space="0"/>
              <w:bottom w:val="single" w:color="000000" w:sz="4" w:space="0"/>
              <w:right w:val="single" w:color="000000" w:sz="4" w:space="0"/>
            </w:tcBorders>
            <w:vAlign w:val="center"/>
          </w:tcPr>
          <w:p w14:paraId="52864C02">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2</w:t>
            </w:r>
          </w:p>
        </w:tc>
        <w:tc>
          <w:tcPr>
            <w:tcW w:w="1125" w:type="dxa"/>
            <w:vMerge w:val="restart"/>
            <w:tcBorders>
              <w:top w:val="single" w:color="000000" w:sz="4" w:space="0"/>
              <w:left w:val="single" w:color="000000" w:sz="4" w:space="0"/>
              <w:bottom w:val="single" w:color="000000" w:sz="4" w:space="0"/>
              <w:right w:val="single" w:color="000000" w:sz="4" w:space="0"/>
            </w:tcBorders>
            <w:vAlign w:val="center"/>
          </w:tcPr>
          <w:p w14:paraId="051ED527">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病区护工</w:t>
            </w:r>
          </w:p>
        </w:tc>
        <w:tc>
          <w:tcPr>
            <w:tcW w:w="1110" w:type="dxa"/>
            <w:vMerge w:val="restart"/>
            <w:tcBorders>
              <w:top w:val="single" w:color="000000" w:sz="4" w:space="0"/>
              <w:left w:val="single" w:color="000000" w:sz="4" w:space="0"/>
              <w:bottom w:val="single" w:color="000000" w:sz="4" w:space="0"/>
              <w:right w:val="single" w:color="000000" w:sz="4" w:space="0"/>
            </w:tcBorders>
            <w:vAlign w:val="center"/>
          </w:tcPr>
          <w:p w14:paraId="0AE3E647">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5</w:t>
            </w:r>
          </w:p>
        </w:tc>
        <w:tc>
          <w:tcPr>
            <w:tcW w:w="1410" w:type="dxa"/>
            <w:tcBorders>
              <w:top w:val="single" w:color="000000" w:sz="4" w:space="0"/>
              <w:left w:val="single" w:color="000000" w:sz="4" w:space="0"/>
              <w:bottom w:val="single" w:color="000000" w:sz="4" w:space="0"/>
              <w:right w:val="single" w:color="000000" w:sz="4" w:space="0"/>
            </w:tcBorders>
            <w:vAlign w:val="center"/>
          </w:tcPr>
          <w:p w14:paraId="6405F29B">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二病区护工</w:t>
            </w:r>
          </w:p>
        </w:tc>
        <w:tc>
          <w:tcPr>
            <w:tcW w:w="960" w:type="dxa"/>
            <w:tcBorders>
              <w:top w:val="single" w:color="000000" w:sz="4" w:space="0"/>
              <w:left w:val="single" w:color="000000" w:sz="4" w:space="0"/>
              <w:bottom w:val="single" w:color="000000" w:sz="4" w:space="0"/>
              <w:right w:val="single" w:color="000000" w:sz="4" w:space="0"/>
            </w:tcBorders>
            <w:vAlign w:val="center"/>
          </w:tcPr>
          <w:p w14:paraId="533902B8">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1</w:t>
            </w:r>
          </w:p>
        </w:tc>
        <w:tc>
          <w:tcPr>
            <w:tcW w:w="1350" w:type="dxa"/>
            <w:tcBorders>
              <w:top w:val="single" w:color="000000" w:sz="4" w:space="0"/>
              <w:left w:val="single" w:color="000000" w:sz="4" w:space="0"/>
              <w:bottom w:val="single" w:color="000000" w:sz="4" w:space="0"/>
              <w:right w:val="single" w:color="000000" w:sz="4" w:space="0"/>
            </w:tcBorders>
            <w:vAlign w:val="center"/>
          </w:tcPr>
          <w:p w14:paraId="4D2A2196">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7</w:t>
            </w:r>
          </w:p>
        </w:tc>
        <w:tc>
          <w:tcPr>
            <w:tcW w:w="2295" w:type="dxa"/>
            <w:tcBorders>
              <w:top w:val="single" w:color="000000" w:sz="4" w:space="0"/>
              <w:left w:val="single" w:color="000000" w:sz="4" w:space="0"/>
              <w:bottom w:val="single" w:color="000000" w:sz="4" w:space="0"/>
              <w:right w:val="single" w:color="000000" w:sz="4" w:space="0"/>
            </w:tcBorders>
            <w:vAlign w:val="center"/>
          </w:tcPr>
          <w:p w14:paraId="6457620A">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白班8小时</w:t>
            </w:r>
          </w:p>
        </w:tc>
      </w:tr>
      <w:tr w14:paraId="754FE41A">
        <w:tblPrEx>
          <w:tblCellMar>
            <w:top w:w="0" w:type="dxa"/>
            <w:left w:w="108" w:type="dxa"/>
            <w:bottom w:w="0" w:type="dxa"/>
            <w:right w:w="108" w:type="dxa"/>
          </w:tblCellMar>
        </w:tblPrEx>
        <w:trPr>
          <w:trHeight w:val="660" w:hRule="atLeast"/>
        </w:trPr>
        <w:tc>
          <w:tcPr>
            <w:tcW w:w="573" w:type="dxa"/>
            <w:vMerge w:val="continue"/>
            <w:tcBorders>
              <w:top w:val="single" w:color="000000" w:sz="4" w:space="0"/>
              <w:left w:val="single" w:color="000000" w:sz="4" w:space="0"/>
              <w:bottom w:val="single" w:color="000000" w:sz="4" w:space="0"/>
              <w:right w:val="single" w:color="000000" w:sz="4" w:space="0"/>
            </w:tcBorders>
            <w:vAlign w:val="center"/>
          </w:tcPr>
          <w:p w14:paraId="7C30673A">
            <w:pPr>
              <w:jc w:val="center"/>
              <w:rPr>
                <w:rFonts w:hint="eastAsia" w:ascii="宋体" w:hAnsi="宋体" w:cs="宋体"/>
                <w:color w:val="auto"/>
                <w:szCs w:val="21"/>
                <w:highlight w:val="none"/>
              </w:rPr>
            </w:pPr>
          </w:p>
        </w:tc>
        <w:tc>
          <w:tcPr>
            <w:tcW w:w="1125" w:type="dxa"/>
            <w:vMerge w:val="continue"/>
            <w:tcBorders>
              <w:top w:val="single" w:color="000000" w:sz="4" w:space="0"/>
              <w:left w:val="single" w:color="000000" w:sz="4" w:space="0"/>
              <w:bottom w:val="single" w:color="000000" w:sz="4" w:space="0"/>
              <w:right w:val="single" w:color="000000" w:sz="4" w:space="0"/>
            </w:tcBorders>
            <w:vAlign w:val="center"/>
          </w:tcPr>
          <w:p w14:paraId="67F5177A">
            <w:pPr>
              <w:jc w:val="center"/>
              <w:rPr>
                <w:rFonts w:hint="eastAsia" w:ascii="宋体" w:hAnsi="宋体" w:cs="宋体"/>
                <w:color w:val="auto"/>
                <w:szCs w:val="21"/>
                <w:highlight w:val="none"/>
              </w:rPr>
            </w:pPr>
          </w:p>
        </w:tc>
        <w:tc>
          <w:tcPr>
            <w:tcW w:w="1110" w:type="dxa"/>
            <w:vMerge w:val="continue"/>
            <w:tcBorders>
              <w:top w:val="single" w:color="000000" w:sz="4" w:space="0"/>
              <w:left w:val="single" w:color="000000" w:sz="4" w:space="0"/>
              <w:bottom w:val="single" w:color="000000" w:sz="4" w:space="0"/>
              <w:right w:val="single" w:color="000000" w:sz="4" w:space="0"/>
            </w:tcBorders>
            <w:vAlign w:val="center"/>
          </w:tcPr>
          <w:p w14:paraId="40928374">
            <w:pPr>
              <w:jc w:val="center"/>
              <w:rPr>
                <w:rFonts w:hint="eastAsia" w:ascii="宋体" w:hAnsi="宋体" w:cs="宋体"/>
                <w:color w:val="auto"/>
                <w:szCs w:val="21"/>
                <w:highlight w:val="none"/>
              </w:rPr>
            </w:pPr>
          </w:p>
        </w:tc>
        <w:tc>
          <w:tcPr>
            <w:tcW w:w="1410" w:type="dxa"/>
            <w:tcBorders>
              <w:top w:val="single" w:color="000000" w:sz="4" w:space="0"/>
              <w:left w:val="single" w:color="000000" w:sz="4" w:space="0"/>
              <w:bottom w:val="single" w:color="000000" w:sz="4" w:space="0"/>
              <w:right w:val="single" w:color="000000" w:sz="4" w:space="0"/>
            </w:tcBorders>
            <w:vAlign w:val="center"/>
          </w:tcPr>
          <w:p w14:paraId="4FC9D4B4">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三病区护工</w:t>
            </w:r>
          </w:p>
        </w:tc>
        <w:tc>
          <w:tcPr>
            <w:tcW w:w="960" w:type="dxa"/>
            <w:tcBorders>
              <w:top w:val="single" w:color="000000" w:sz="4" w:space="0"/>
              <w:left w:val="single" w:color="000000" w:sz="4" w:space="0"/>
              <w:bottom w:val="single" w:color="000000" w:sz="4" w:space="0"/>
              <w:right w:val="single" w:color="000000" w:sz="4" w:space="0"/>
            </w:tcBorders>
            <w:vAlign w:val="center"/>
          </w:tcPr>
          <w:p w14:paraId="0CF1D5E2">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1</w:t>
            </w:r>
          </w:p>
        </w:tc>
        <w:tc>
          <w:tcPr>
            <w:tcW w:w="1350" w:type="dxa"/>
            <w:tcBorders>
              <w:top w:val="single" w:color="000000" w:sz="4" w:space="0"/>
              <w:left w:val="single" w:color="000000" w:sz="4" w:space="0"/>
              <w:bottom w:val="single" w:color="000000" w:sz="4" w:space="0"/>
              <w:right w:val="single" w:color="000000" w:sz="4" w:space="0"/>
            </w:tcBorders>
            <w:vAlign w:val="center"/>
          </w:tcPr>
          <w:p w14:paraId="34A7066F">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7</w:t>
            </w:r>
          </w:p>
        </w:tc>
        <w:tc>
          <w:tcPr>
            <w:tcW w:w="2295" w:type="dxa"/>
            <w:tcBorders>
              <w:top w:val="single" w:color="000000" w:sz="4" w:space="0"/>
              <w:left w:val="single" w:color="000000" w:sz="4" w:space="0"/>
              <w:bottom w:val="single" w:color="000000" w:sz="4" w:space="0"/>
              <w:right w:val="single" w:color="000000" w:sz="4" w:space="0"/>
            </w:tcBorders>
            <w:vAlign w:val="center"/>
          </w:tcPr>
          <w:p w14:paraId="06AEA72C">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白班8小时</w:t>
            </w:r>
          </w:p>
        </w:tc>
      </w:tr>
      <w:tr w14:paraId="507B2852">
        <w:tblPrEx>
          <w:tblCellMar>
            <w:top w:w="0" w:type="dxa"/>
            <w:left w:w="108" w:type="dxa"/>
            <w:bottom w:w="0" w:type="dxa"/>
            <w:right w:w="108" w:type="dxa"/>
          </w:tblCellMar>
        </w:tblPrEx>
        <w:trPr>
          <w:trHeight w:val="660" w:hRule="atLeast"/>
        </w:trPr>
        <w:tc>
          <w:tcPr>
            <w:tcW w:w="573" w:type="dxa"/>
            <w:vMerge w:val="continue"/>
            <w:tcBorders>
              <w:top w:val="single" w:color="000000" w:sz="4" w:space="0"/>
              <w:left w:val="single" w:color="000000" w:sz="4" w:space="0"/>
              <w:bottom w:val="single" w:color="000000" w:sz="4" w:space="0"/>
              <w:right w:val="single" w:color="000000" w:sz="4" w:space="0"/>
            </w:tcBorders>
            <w:vAlign w:val="center"/>
          </w:tcPr>
          <w:p w14:paraId="14EE9E3A">
            <w:pPr>
              <w:jc w:val="center"/>
              <w:rPr>
                <w:rFonts w:hint="eastAsia" w:ascii="宋体" w:hAnsi="宋体" w:cs="宋体"/>
                <w:color w:val="auto"/>
                <w:szCs w:val="21"/>
                <w:highlight w:val="none"/>
              </w:rPr>
            </w:pPr>
          </w:p>
        </w:tc>
        <w:tc>
          <w:tcPr>
            <w:tcW w:w="1125" w:type="dxa"/>
            <w:vMerge w:val="continue"/>
            <w:tcBorders>
              <w:top w:val="single" w:color="000000" w:sz="4" w:space="0"/>
              <w:left w:val="single" w:color="000000" w:sz="4" w:space="0"/>
              <w:bottom w:val="single" w:color="000000" w:sz="4" w:space="0"/>
              <w:right w:val="single" w:color="000000" w:sz="4" w:space="0"/>
            </w:tcBorders>
            <w:vAlign w:val="center"/>
          </w:tcPr>
          <w:p w14:paraId="2138D663">
            <w:pPr>
              <w:jc w:val="center"/>
              <w:rPr>
                <w:rFonts w:hint="eastAsia" w:ascii="宋体" w:hAnsi="宋体" w:cs="宋体"/>
                <w:color w:val="auto"/>
                <w:szCs w:val="21"/>
                <w:highlight w:val="none"/>
              </w:rPr>
            </w:pPr>
          </w:p>
        </w:tc>
        <w:tc>
          <w:tcPr>
            <w:tcW w:w="1110" w:type="dxa"/>
            <w:vMerge w:val="continue"/>
            <w:tcBorders>
              <w:top w:val="single" w:color="000000" w:sz="4" w:space="0"/>
              <w:left w:val="single" w:color="000000" w:sz="4" w:space="0"/>
              <w:bottom w:val="single" w:color="000000" w:sz="4" w:space="0"/>
              <w:right w:val="single" w:color="000000" w:sz="4" w:space="0"/>
            </w:tcBorders>
            <w:vAlign w:val="center"/>
          </w:tcPr>
          <w:p w14:paraId="1C855A1A">
            <w:pPr>
              <w:jc w:val="center"/>
              <w:rPr>
                <w:rFonts w:hint="eastAsia" w:ascii="宋体" w:hAnsi="宋体" w:cs="宋体"/>
                <w:color w:val="auto"/>
                <w:szCs w:val="21"/>
                <w:highlight w:val="none"/>
              </w:rPr>
            </w:pPr>
          </w:p>
        </w:tc>
        <w:tc>
          <w:tcPr>
            <w:tcW w:w="1410" w:type="dxa"/>
            <w:tcBorders>
              <w:top w:val="single" w:color="000000" w:sz="4" w:space="0"/>
              <w:left w:val="single" w:color="000000" w:sz="4" w:space="0"/>
              <w:bottom w:val="single" w:color="000000" w:sz="4" w:space="0"/>
              <w:right w:val="single" w:color="000000" w:sz="4" w:space="0"/>
            </w:tcBorders>
            <w:vAlign w:val="center"/>
          </w:tcPr>
          <w:p w14:paraId="42DE4B85">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四病区护工</w:t>
            </w:r>
          </w:p>
        </w:tc>
        <w:tc>
          <w:tcPr>
            <w:tcW w:w="960" w:type="dxa"/>
            <w:tcBorders>
              <w:top w:val="single" w:color="000000" w:sz="4" w:space="0"/>
              <w:left w:val="single" w:color="000000" w:sz="4" w:space="0"/>
              <w:bottom w:val="single" w:color="000000" w:sz="4" w:space="0"/>
              <w:right w:val="single" w:color="000000" w:sz="4" w:space="0"/>
            </w:tcBorders>
            <w:vAlign w:val="center"/>
          </w:tcPr>
          <w:p w14:paraId="6504105F">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1</w:t>
            </w:r>
          </w:p>
        </w:tc>
        <w:tc>
          <w:tcPr>
            <w:tcW w:w="1350" w:type="dxa"/>
            <w:tcBorders>
              <w:top w:val="single" w:color="000000" w:sz="4" w:space="0"/>
              <w:left w:val="single" w:color="000000" w:sz="4" w:space="0"/>
              <w:bottom w:val="single" w:color="000000" w:sz="4" w:space="0"/>
              <w:right w:val="single" w:color="000000" w:sz="4" w:space="0"/>
            </w:tcBorders>
            <w:vAlign w:val="center"/>
          </w:tcPr>
          <w:p w14:paraId="67F4EB4B">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7</w:t>
            </w:r>
          </w:p>
        </w:tc>
        <w:tc>
          <w:tcPr>
            <w:tcW w:w="2295" w:type="dxa"/>
            <w:tcBorders>
              <w:top w:val="single" w:color="000000" w:sz="4" w:space="0"/>
              <w:left w:val="single" w:color="000000" w:sz="4" w:space="0"/>
              <w:bottom w:val="single" w:color="000000" w:sz="4" w:space="0"/>
              <w:right w:val="single" w:color="000000" w:sz="4" w:space="0"/>
            </w:tcBorders>
            <w:vAlign w:val="center"/>
          </w:tcPr>
          <w:p w14:paraId="39F393D5">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白班8小时</w:t>
            </w:r>
          </w:p>
        </w:tc>
      </w:tr>
      <w:tr w14:paraId="09F6F9F1">
        <w:tblPrEx>
          <w:tblCellMar>
            <w:top w:w="0" w:type="dxa"/>
            <w:left w:w="108" w:type="dxa"/>
            <w:bottom w:w="0" w:type="dxa"/>
            <w:right w:w="108" w:type="dxa"/>
          </w:tblCellMar>
        </w:tblPrEx>
        <w:trPr>
          <w:trHeight w:val="660" w:hRule="atLeast"/>
        </w:trPr>
        <w:tc>
          <w:tcPr>
            <w:tcW w:w="573" w:type="dxa"/>
            <w:vMerge w:val="continue"/>
            <w:tcBorders>
              <w:top w:val="single" w:color="000000" w:sz="4" w:space="0"/>
              <w:left w:val="single" w:color="000000" w:sz="4" w:space="0"/>
              <w:bottom w:val="single" w:color="000000" w:sz="4" w:space="0"/>
              <w:right w:val="single" w:color="000000" w:sz="4" w:space="0"/>
            </w:tcBorders>
            <w:vAlign w:val="center"/>
          </w:tcPr>
          <w:p w14:paraId="1FC6B8BE">
            <w:pPr>
              <w:jc w:val="center"/>
              <w:rPr>
                <w:rFonts w:hint="eastAsia" w:ascii="宋体" w:hAnsi="宋体" w:cs="宋体"/>
                <w:color w:val="auto"/>
                <w:szCs w:val="21"/>
                <w:highlight w:val="none"/>
              </w:rPr>
            </w:pPr>
          </w:p>
        </w:tc>
        <w:tc>
          <w:tcPr>
            <w:tcW w:w="1125" w:type="dxa"/>
            <w:vMerge w:val="continue"/>
            <w:tcBorders>
              <w:top w:val="single" w:color="000000" w:sz="4" w:space="0"/>
              <w:left w:val="single" w:color="000000" w:sz="4" w:space="0"/>
              <w:bottom w:val="single" w:color="000000" w:sz="4" w:space="0"/>
              <w:right w:val="single" w:color="000000" w:sz="4" w:space="0"/>
            </w:tcBorders>
            <w:vAlign w:val="center"/>
          </w:tcPr>
          <w:p w14:paraId="25AA1A88">
            <w:pPr>
              <w:jc w:val="center"/>
              <w:rPr>
                <w:rFonts w:hint="eastAsia" w:ascii="宋体" w:hAnsi="宋体" w:cs="宋体"/>
                <w:color w:val="auto"/>
                <w:szCs w:val="21"/>
                <w:highlight w:val="none"/>
              </w:rPr>
            </w:pPr>
          </w:p>
        </w:tc>
        <w:tc>
          <w:tcPr>
            <w:tcW w:w="1110" w:type="dxa"/>
            <w:vMerge w:val="continue"/>
            <w:tcBorders>
              <w:top w:val="single" w:color="000000" w:sz="4" w:space="0"/>
              <w:left w:val="single" w:color="000000" w:sz="4" w:space="0"/>
              <w:bottom w:val="single" w:color="000000" w:sz="4" w:space="0"/>
              <w:right w:val="single" w:color="000000" w:sz="4" w:space="0"/>
            </w:tcBorders>
            <w:vAlign w:val="center"/>
          </w:tcPr>
          <w:p w14:paraId="09C88E27">
            <w:pPr>
              <w:jc w:val="center"/>
              <w:rPr>
                <w:rFonts w:hint="eastAsia" w:ascii="宋体" w:hAnsi="宋体" w:cs="宋体"/>
                <w:color w:val="auto"/>
                <w:szCs w:val="21"/>
                <w:highlight w:val="none"/>
              </w:rPr>
            </w:pPr>
          </w:p>
        </w:tc>
        <w:tc>
          <w:tcPr>
            <w:tcW w:w="1410" w:type="dxa"/>
            <w:tcBorders>
              <w:top w:val="single" w:color="000000" w:sz="4" w:space="0"/>
              <w:left w:val="single" w:color="000000" w:sz="4" w:space="0"/>
              <w:bottom w:val="single" w:color="000000" w:sz="4" w:space="0"/>
              <w:right w:val="single" w:color="000000" w:sz="4" w:space="0"/>
            </w:tcBorders>
            <w:vAlign w:val="center"/>
          </w:tcPr>
          <w:p w14:paraId="6E02313A">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五病区护工</w:t>
            </w:r>
          </w:p>
        </w:tc>
        <w:tc>
          <w:tcPr>
            <w:tcW w:w="960" w:type="dxa"/>
            <w:tcBorders>
              <w:top w:val="single" w:color="000000" w:sz="4" w:space="0"/>
              <w:left w:val="single" w:color="000000" w:sz="4" w:space="0"/>
              <w:bottom w:val="single" w:color="000000" w:sz="4" w:space="0"/>
              <w:right w:val="single" w:color="000000" w:sz="4" w:space="0"/>
            </w:tcBorders>
            <w:vAlign w:val="center"/>
          </w:tcPr>
          <w:p w14:paraId="65276DB6">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2</w:t>
            </w:r>
          </w:p>
        </w:tc>
        <w:tc>
          <w:tcPr>
            <w:tcW w:w="1350" w:type="dxa"/>
            <w:tcBorders>
              <w:top w:val="single" w:color="000000" w:sz="4" w:space="0"/>
              <w:left w:val="single" w:color="000000" w:sz="4" w:space="0"/>
              <w:bottom w:val="single" w:color="000000" w:sz="4" w:space="0"/>
              <w:right w:val="single" w:color="000000" w:sz="4" w:space="0"/>
            </w:tcBorders>
            <w:vAlign w:val="center"/>
          </w:tcPr>
          <w:p w14:paraId="34A8D1D5">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7</w:t>
            </w:r>
          </w:p>
        </w:tc>
        <w:tc>
          <w:tcPr>
            <w:tcW w:w="2295" w:type="dxa"/>
            <w:tcBorders>
              <w:top w:val="single" w:color="000000" w:sz="4" w:space="0"/>
              <w:left w:val="single" w:color="000000" w:sz="4" w:space="0"/>
              <w:bottom w:val="single" w:color="000000" w:sz="4" w:space="0"/>
              <w:right w:val="single" w:color="000000" w:sz="4" w:space="0"/>
            </w:tcBorders>
            <w:vAlign w:val="center"/>
          </w:tcPr>
          <w:p w14:paraId="4B86B5BD">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白班8小时</w:t>
            </w:r>
          </w:p>
        </w:tc>
      </w:tr>
      <w:tr w14:paraId="68772483">
        <w:tblPrEx>
          <w:tblCellMar>
            <w:top w:w="0" w:type="dxa"/>
            <w:left w:w="108" w:type="dxa"/>
            <w:bottom w:w="0" w:type="dxa"/>
            <w:right w:w="108" w:type="dxa"/>
          </w:tblCellMar>
        </w:tblPrEx>
        <w:trPr>
          <w:trHeight w:val="660" w:hRule="atLeast"/>
        </w:trPr>
        <w:tc>
          <w:tcPr>
            <w:tcW w:w="573" w:type="dxa"/>
            <w:tcBorders>
              <w:top w:val="single" w:color="000000" w:sz="4" w:space="0"/>
              <w:left w:val="single" w:color="000000" w:sz="4" w:space="0"/>
              <w:bottom w:val="single" w:color="000000" w:sz="4" w:space="0"/>
              <w:right w:val="single" w:color="000000" w:sz="4" w:space="0"/>
            </w:tcBorders>
            <w:vAlign w:val="center"/>
          </w:tcPr>
          <w:p w14:paraId="62DF43B4">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3</w:t>
            </w:r>
          </w:p>
        </w:tc>
        <w:tc>
          <w:tcPr>
            <w:tcW w:w="1125" w:type="dxa"/>
            <w:tcBorders>
              <w:top w:val="single" w:color="000000" w:sz="4" w:space="0"/>
              <w:left w:val="single" w:color="000000" w:sz="4" w:space="0"/>
              <w:bottom w:val="single" w:color="000000" w:sz="4" w:space="0"/>
              <w:right w:val="single" w:color="000000" w:sz="4" w:space="0"/>
            </w:tcBorders>
            <w:vAlign w:val="center"/>
          </w:tcPr>
          <w:p w14:paraId="2A35303A">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病区保管员</w:t>
            </w:r>
          </w:p>
        </w:tc>
        <w:tc>
          <w:tcPr>
            <w:tcW w:w="1110" w:type="dxa"/>
            <w:tcBorders>
              <w:top w:val="single" w:color="000000" w:sz="4" w:space="0"/>
              <w:left w:val="single" w:color="000000" w:sz="4" w:space="0"/>
              <w:bottom w:val="single" w:color="000000" w:sz="4" w:space="0"/>
              <w:right w:val="single" w:color="000000" w:sz="4" w:space="0"/>
            </w:tcBorders>
            <w:vAlign w:val="center"/>
          </w:tcPr>
          <w:p w14:paraId="5587E0C2">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4</w:t>
            </w:r>
          </w:p>
        </w:tc>
        <w:tc>
          <w:tcPr>
            <w:tcW w:w="1410" w:type="dxa"/>
            <w:tcBorders>
              <w:top w:val="single" w:color="000000" w:sz="4" w:space="0"/>
              <w:left w:val="single" w:color="000000" w:sz="4" w:space="0"/>
              <w:bottom w:val="single" w:color="000000" w:sz="4" w:space="0"/>
              <w:right w:val="single" w:color="000000" w:sz="4" w:space="0"/>
            </w:tcBorders>
            <w:vAlign w:val="center"/>
          </w:tcPr>
          <w:p w14:paraId="58C65B73">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病区保管员</w:t>
            </w:r>
          </w:p>
        </w:tc>
        <w:tc>
          <w:tcPr>
            <w:tcW w:w="960" w:type="dxa"/>
            <w:tcBorders>
              <w:top w:val="single" w:color="000000" w:sz="4" w:space="0"/>
              <w:left w:val="single" w:color="000000" w:sz="4" w:space="0"/>
              <w:bottom w:val="single" w:color="000000" w:sz="4" w:space="0"/>
              <w:right w:val="single" w:color="000000" w:sz="4" w:space="0"/>
            </w:tcBorders>
            <w:vAlign w:val="center"/>
          </w:tcPr>
          <w:p w14:paraId="4CAF36F9">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4</w:t>
            </w:r>
          </w:p>
        </w:tc>
        <w:tc>
          <w:tcPr>
            <w:tcW w:w="1350" w:type="dxa"/>
            <w:tcBorders>
              <w:top w:val="single" w:color="000000" w:sz="4" w:space="0"/>
              <w:left w:val="single" w:color="000000" w:sz="4" w:space="0"/>
              <w:bottom w:val="single" w:color="000000" w:sz="4" w:space="0"/>
              <w:right w:val="single" w:color="000000" w:sz="4" w:space="0"/>
            </w:tcBorders>
            <w:vAlign w:val="center"/>
          </w:tcPr>
          <w:p w14:paraId="78DCD362">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7</w:t>
            </w:r>
          </w:p>
        </w:tc>
        <w:tc>
          <w:tcPr>
            <w:tcW w:w="2295" w:type="dxa"/>
            <w:tcBorders>
              <w:top w:val="single" w:color="000000" w:sz="4" w:space="0"/>
              <w:left w:val="single" w:color="000000" w:sz="4" w:space="0"/>
              <w:bottom w:val="single" w:color="000000" w:sz="4" w:space="0"/>
              <w:right w:val="single" w:color="000000" w:sz="4" w:space="0"/>
            </w:tcBorders>
            <w:vAlign w:val="center"/>
          </w:tcPr>
          <w:p w14:paraId="4AA64A24">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白班8小时</w:t>
            </w:r>
          </w:p>
        </w:tc>
      </w:tr>
      <w:tr w14:paraId="1CDAD684">
        <w:tblPrEx>
          <w:tblCellMar>
            <w:top w:w="0" w:type="dxa"/>
            <w:left w:w="108" w:type="dxa"/>
            <w:bottom w:w="0" w:type="dxa"/>
            <w:right w:w="108" w:type="dxa"/>
          </w:tblCellMar>
        </w:tblPrEx>
        <w:trPr>
          <w:trHeight w:val="660" w:hRule="atLeast"/>
        </w:trPr>
        <w:tc>
          <w:tcPr>
            <w:tcW w:w="573" w:type="dxa"/>
            <w:vMerge w:val="restart"/>
            <w:tcBorders>
              <w:top w:val="single" w:color="000000" w:sz="4" w:space="0"/>
              <w:left w:val="single" w:color="000000" w:sz="4" w:space="0"/>
              <w:bottom w:val="single" w:color="000000" w:sz="4" w:space="0"/>
              <w:right w:val="single" w:color="000000" w:sz="4" w:space="0"/>
            </w:tcBorders>
            <w:vAlign w:val="center"/>
          </w:tcPr>
          <w:p w14:paraId="3DC0A2D6">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4</w:t>
            </w:r>
          </w:p>
        </w:tc>
        <w:tc>
          <w:tcPr>
            <w:tcW w:w="1125" w:type="dxa"/>
            <w:vMerge w:val="restart"/>
            <w:tcBorders>
              <w:top w:val="single" w:color="000000" w:sz="4" w:space="0"/>
              <w:left w:val="single" w:color="000000" w:sz="4" w:space="0"/>
              <w:bottom w:val="single" w:color="000000" w:sz="4" w:space="0"/>
              <w:right w:val="single" w:color="000000" w:sz="4" w:space="0"/>
            </w:tcBorders>
            <w:vAlign w:val="center"/>
          </w:tcPr>
          <w:p w14:paraId="2233BF24">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环境消杀</w:t>
            </w:r>
          </w:p>
        </w:tc>
        <w:tc>
          <w:tcPr>
            <w:tcW w:w="1110" w:type="dxa"/>
            <w:vMerge w:val="restart"/>
            <w:tcBorders>
              <w:top w:val="single" w:color="000000" w:sz="4" w:space="0"/>
              <w:left w:val="single" w:color="000000" w:sz="4" w:space="0"/>
              <w:bottom w:val="single" w:color="000000" w:sz="4" w:space="0"/>
              <w:right w:val="single" w:color="000000" w:sz="4" w:space="0"/>
            </w:tcBorders>
            <w:vAlign w:val="center"/>
          </w:tcPr>
          <w:p w14:paraId="363881EC">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14</w:t>
            </w:r>
          </w:p>
        </w:tc>
        <w:tc>
          <w:tcPr>
            <w:tcW w:w="1410" w:type="dxa"/>
            <w:tcBorders>
              <w:top w:val="single" w:color="000000" w:sz="4" w:space="0"/>
              <w:left w:val="single" w:color="000000" w:sz="4" w:space="0"/>
              <w:bottom w:val="single" w:color="000000" w:sz="4" w:space="0"/>
              <w:right w:val="single" w:color="000000" w:sz="4" w:space="0"/>
            </w:tcBorders>
            <w:vAlign w:val="center"/>
          </w:tcPr>
          <w:p w14:paraId="30DD1D44">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病区环境消杀员</w:t>
            </w:r>
          </w:p>
        </w:tc>
        <w:tc>
          <w:tcPr>
            <w:tcW w:w="960" w:type="dxa"/>
            <w:tcBorders>
              <w:top w:val="single" w:color="000000" w:sz="4" w:space="0"/>
              <w:left w:val="single" w:color="000000" w:sz="4" w:space="0"/>
              <w:bottom w:val="single" w:color="000000" w:sz="4" w:space="0"/>
              <w:right w:val="single" w:color="000000" w:sz="4" w:space="0"/>
            </w:tcBorders>
            <w:vAlign w:val="center"/>
          </w:tcPr>
          <w:p w14:paraId="2DB88E13">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7</w:t>
            </w:r>
          </w:p>
        </w:tc>
        <w:tc>
          <w:tcPr>
            <w:tcW w:w="1350" w:type="dxa"/>
            <w:tcBorders>
              <w:top w:val="single" w:color="000000" w:sz="4" w:space="0"/>
              <w:left w:val="single" w:color="000000" w:sz="4" w:space="0"/>
              <w:bottom w:val="single" w:color="000000" w:sz="4" w:space="0"/>
              <w:right w:val="single" w:color="000000" w:sz="4" w:space="0"/>
            </w:tcBorders>
            <w:vAlign w:val="center"/>
          </w:tcPr>
          <w:p w14:paraId="1C2F369C">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7</w:t>
            </w:r>
          </w:p>
        </w:tc>
        <w:tc>
          <w:tcPr>
            <w:tcW w:w="2295" w:type="dxa"/>
            <w:tcBorders>
              <w:top w:val="single" w:color="000000" w:sz="4" w:space="0"/>
              <w:left w:val="single" w:color="000000" w:sz="4" w:space="0"/>
              <w:bottom w:val="single" w:color="000000" w:sz="4" w:space="0"/>
              <w:right w:val="single" w:color="000000" w:sz="4" w:space="0"/>
            </w:tcBorders>
            <w:vAlign w:val="center"/>
          </w:tcPr>
          <w:p w14:paraId="5A4ED1FE">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白班8小时</w:t>
            </w:r>
          </w:p>
        </w:tc>
      </w:tr>
      <w:tr w14:paraId="45A6A77C">
        <w:tblPrEx>
          <w:tblCellMar>
            <w:top w:w="0" w:type="dxa"/>
            <w:left w:w="108" w:type="dxa"/>
            <w:bottom w:w="0" w:type="dxa"/>
            <w:right w:w="108" w:type="dxa"/>
          </w:tblCellMar>
        </w:tblPrEx>
        <w:trPr>
          <w:trHeight w:val="660" w:hRule="atLeast"/>
        </w:trPr>
        <w:tc>
          <w:tcPr>
            <w:tcW w:w="573" w:type="dxa"/>
            <w:vMerge w:val="continue"/>
            <w:tcBorders>
              <w:top w:val="single" w:color="000000" w:sz="4" w:space="0"/>
              <w:left w:val="single" w:color="000000" w:sz="4" w:space="0"/>
              <w:bottom w:val="single" w:color="000000" w:sz="4" w:space="0"/>
              <w:right w:val="single" w:color="000000" w:sz="4" w:space="0"/>
            </w:tcBorders>
            <w:vAlign w:val="center"/>
          </w:tcPr>
          <w:p w14:paraId="1264463F">
            <w:pPr>
              <w:jc w:val="center"/>
              <w:rPr>
                <w:rFonts w:hint="eastAsia" w:ascii="宋体" w:hAnsi="宋体" w:cs="宋体"/>
                <w:color w:val="auto"/>
                <w:szCs w:val="21"/>
                <w:highlight w:val="none"/>
              </w:rPr>
            </w:pPr>
          </w:p>
        </w:tc>
        <w:tc>
          <w:tcPr>
            <w:tcW w:w="1125" w:type="dxa"/>
            <w:vMerge w:val="continue"/>
            <w:tcBorders>
              <w:top w:val="single" w:color="000000" w:sz="4" w:space="0"/>
              <w:left w:val="single" w:color="000000" w:sz="4" w:space="0"/>
              <w:bottom w:val="single" w:color="000000" w:sz="4" w:space="0"/>
              <w:right w:val="single" w:color="000000" w:sz="4" w:space="0"/>
            </w:tcBorders>
            <w:vAlign w:val="center"/>
          </w:tcPr>
          <w:p w14:paraId="2BE78C85">
            <w:pPr>
              <w:jc w:val="center"/>
              <w:rPr>
                <w:rFonts w:hint="eastAsia" w:ascii="宋体" w:hAnsi="宋体" w:cs="宋体"/>
                <w:color w:val="auto"/>
                <w:szCs w:val="21"/>
                <w:highlight w:val="none"/>
              </w:rPr>
            </w:pPr>
          </w:p>
        </w:tc>
        <w:tc>
          <w:tcPr>
            <w:tcW w:w="1110" w:type="dxa"/>
            <w:vMerge w:val="continue"/>
            <w:tcBorders>
              <w:top w:val="single" w:color="000000" w:sz="4" w:space="0"/>
              <w:left w:val="single" w:color="000000" w:sz="4" w:space="0"/>
              <w:bottom w:val="single" w:color="000000" w:sz="4" w:space="0"/>
              <w:right w:val="single" w:color="000000" w:sz="4" w:space="0"/>
            </w:tcBorders>
            <w:vAlign w:val="center"/>
          </w:tcPr>
          <w:p w14:paraId="6D06958B">
            <w:pPr>
              <w:jc w:val="center"/>
              <w:rPr>
                <w:rFonts w:hint="eastAsia" w:ascii="宋体" w:hAnsi="宋体" w:cs="宋体"/>
                <w:color w:val="auto"/>
                <w:szCs w:val="21"/>
                <w:highlight w:val="none"/>
              </w:rPr>
            </w:pPr>
          </w:p>
        </w:tc>
        <w:tc>
          <w:tcPr>
            <w:tcW w:w="1410" w:type="dxa"/>
            <w:tcBorders>
              <w:top w:val="single" w:color="000000" w:sz="4" w:space="0"/>
              <w:left w:val="single" w:color="000000" w:sz="4" w:space="0"/>
              <w:bottom w:val="single" w:color="000000" w:sz="4" w:space="0"/>
              <w:right w:val="single" w:color="000000" w:sz="4" w:space="0"/>
            </w:tcBorders>
            <w:vAlign w:val="center"/>
          </w:tcPr>
          <w:p w14:paraId="30A3DD6C">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门诊环境消杀员</w:t>
            </w:r>
          </w:p>
        </w:tc>
        <w:tc>
          <w:tcPr>
            <w:tcW w:w="960" w:type="dxa"/>
            <w:tcBorders>
              <w:top w:val="single" w:color="000000" w:sz="4" w:space="0"/>
              <w:left w:val="single" w:color="000000" w:sz="4" w:space="0"/>
              <w:bottom w:val="single" w:color="000000" w:sz="4" w:space="0"/>
              <w:right w:val="single" w:color="000000" w:sz="4" w:space="0"/>
            </w:tcBorders>
            <w:vAlign w:val="center"/>
          </w:tcPr>
          <w:p w14:paraId="19724FAE">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4</w:t>
            </w:r>
          </w:p>
        </w:tc>
        <w:tc>
          <w:tcPr>
            <w:tcW w:w="1350" w:type="dxa"/>
            <w:tcBorders>
              <w:top w:val="single" w:color="000000" w:sz="4" w:space="0"/>
              <w:left w:val="single" w:color="000000" w:sz="4" w:space="0"/>
              <w:bottom w:val="single" w:color="000000" w:sz="4" w:space="0"/>
              <w:right w:val="single" w:color="000000" w:sz="4" w:space="0"/>
            </w:tcBorders>
            <w:vAlign w:val="center"/>
          </w:tcPr>
          <w:p w14:paraId="516778B6">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7</w:t>
            </w:r>
          </w:p>
        </w:tc>
        <w:tc>
          <w:tcPr>
            <w:tcW w:w="2295" w:type="dxa"/>
            <w:tcBorders>
              <w:top w:val="single" w:color="000000" w:sz="4" w:space="0"/>
              <w:left w:val="single" w:color="000000" w:sz="4" w:space="0"/>
              <w:bottom w:val="single" w:color="000000" w:sz="4" w:space="0"/>
              <w:right w:val="single" w:color="000000" w:sz="4" w:space="0"/>
            </w:tcBorders>
            <w:vAlign w:val="center"/>
          </w:tcPr>
          <w:p w14:paraId="098EC84B">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白班8小时</w:t>
            </w:r>
          </w:p>
        </w:tc>
      </w:tr>
      <w:tr w14:paraId="1567E685">
        <w:tblPrEx>
          <w:tblCellMar>
            <w:top w:w="0" w:type="dxa"/>
            <w:left w:w="108" w:type="dxa"/>
            <w:bottom w:w="0" w:type="dxa"/>
            <w:right w:w="108" w:type="dxa"/>
          </w:tblCellMar>
        </w:tblPrEx>
        <w:trPr>
          <w:trHeight w:val="660" w:hRule="atLeast"/>
        </w:trPr>
        <w:tc>
          <w:tcPr>
            <w:tcW w:w="573" w:type="dxa"/>
            <w:vMerge w:val="continue"/>
            <w:tcBorders>
              <w:top w:val="single" w:color="000000" w:sz="4" w:space="0"/>
              <w:left w:val="single" w:color="000000" w:sz="4" w:space="0"/>
              <w:bottom w:val="single" w:color="000000" w:sz="4" w:space="0"/>
              <w:right w:val="single" w:color="000000" w:sz="4" w:space="0"/>
            </w:tcBorders>
            <w:vAlign w:val="center"/>
          </w:tcPr>
          <w:p w14:paraId="25740967">
            <w:pPr>
              <w:jc w:val="center"/>
              <w:rPr>
                <w:rFonts w:hint="eastAsia" w:ascii="宋体" w:hAnsi="宋体" w:cs="宋体"/>
                <w:color w:val="auto"/>
                <w:szCs w:val="21"/>
                <w:highlight w:val="none"/>
              </w:rPr>
            </w:pPr>
          </w:p>
        </w:tc>
        <w:tc>
          <w:tcPr>
            <w:tcW w:w="1125" w:type="dxa"/>
            <w:vMerge w:val="continue"/>
            <w:tcBorders>
              <w:top w:val="single" w:color="000000" w:sz="4" w:space="0"/>
              <w:left w:val="single" w:color="000000" w:sz="4" w:space="0"/>
              <w:bottom w:val="single" w:color="000000" w:sz="4" w:space="0"/>
              <w:right w:val="single" w:color="000000" w:sz="4" w:space="0"/>
            </w:tcBorders>
            <w:vAlign w:val="center"/>
          </w:tcPr>
          <w:p w14:paraId="6F998796">
            <w:pPr>
              <w:jc w:val="center"/>
              <w:rPr>
                <w:rFonts w:hint="eastAsia" w:ascii="宋体" w:hAnsi="宋体" w:cs="宋体"/>
                <w:color w:val="auto"/>
                <w:szCs w:val="21"/>
                <w:highlight w:val="none"/>
              </w:rPr>
            </w:pPr>
          </w:p>
        </w:tc>
        <w:tc>
          <w:tcPr>
            <w:tcW w:w="1110" w:type="dxa"/>
            <w:vMerge w:val="continue"/>
            <w:tcBorders>
              <w:top w:val="single" w:color="000000" w:sz="4" w:space="0"/>
              <w:left w:val="single" w:color="000000" w:sz="4" w:space="0"/>
              <w:bottom w:val="single" w:color="000000" w:sz="4" w:space="0"/>
              <w:right w:val="single" w:color="000000" w:sz="4" w:space="0"/>
            </w:tcBorders>
            <w:vAlign w:val="center"/>
          </w:tcPr>
          <w:p w14:paraId="6FF37728">
            <w:pPr>
              <w:jc w:val="center"/>
              <w:rPr>
                <w:rFonts w:hint="eastAsia" w:ascii="宋体" w:hAnsi="宋体" w:cs="宋体"/>
                <w:color w:val="auto"/>
                <w:szCs w:val="21"/>
                <w:highlight w:val="none"/>
              </w:rPr>
            </w:pPr>
          </w:p>
        </w:tc>
        <w:tc>
          <w:tcPr>
            <w:tcW w:w="1410" w:type="dxa"/>
            <w:tcBorders>
              <w:top w:val="single" w:color="000000" w:sz="4" w:space="0"/>
              <w:left w:val="single" w:color="000000" w:sz="4" w:space="0"/>
              <w:bottom w:val="single" w:color="000000" w:sz="4" w:space="0"/>
              <w:right w:val="single" w:color="000000" w:sz="4" w:space="0"/>
            </w:tcBorders>
            <w:vAlign w:val="center"/>
          </w:tcPr>
          <w:p w14:paraId="6A2F287F">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食堂环境消杀员</w:t>
            </w:r>
          </w:p>
        </w:tc>
        <w:tc>
          <w:tcPr>
            <w:tcW w:w="960" w:type="dxa"/>
            <w:tcBorders>
              <w:top w:val="single" w:color="000000" w:sz="4" w:space="0"/>
              <w:left w:val="single" w:color="000000" w:sz="4" w:space="0"/>
              <w:bottom w:val="single" w:color="000000" w:sz="4" w:space="0"/>
              <w:right w:val="single" w:color="000000" w:sz="4" w:space="0"/>
            </w:tcBorders>
            <w:vAlign w:val="center"/>
          </w:tcPr>
          <w:p w14:paraId="2E3190CA">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1</w:t>
            </w:r>
          </w:p>
        </w:tc>
        <w:tc>
          <w:tcPr>
            <w:tcW w:w="1350" w:type="dxa"/>
            <w:tcBorders>
              <w:top w:val="single" w:color="000000" w:sz="4" w:space="0"/>
              <w:left w:val="single" w:color="000000" w:sz="4" w:space="0"/>
              <w:bottom w:val="single" w:color="000000" w:sz="4" w:space="0"/>
              <w:right w:val="single" w:color="000000" w:sz="4" w:space="0"/>
            </w:tcBorders>
            <w:vAlign w:val="center"/>
          </w:tcPr>
          <w:p w14:paraId="3E8C6A80">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7</w:t>
            </w:r>
          </w:p>
        </w:tc>
        <w:tc>
          <w:tcPr>
            <w:tcW w:w="2295" w:type="dxa"/>
            <w:tcBorders>
              <w:top w:val="single" w:color="000000" w:sz="4" w:space="0"/>
              <w:left w:val="single" w:color="000000" w:sz="4" w:space="0"/>
              <w:bottom w:val="single" w:color="000000" w:sz="4" w:space="0"/>
              <w:right w:val="single" w:color="000000" w:sz="4" w:space="0"/>
            </w:tcBorders>
            <w:vAlign w:val="center"/>
          </w:tcPr>
          <w:p w14:paraId="2BDE9787">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白班8小时</w:t>
            </w:r>
          </w:p>
        </w:tc>
      </w:tr>
      <w:tr w14:paraId="7BA5F432">
        <w:tblPrEx>
          <w:tblCellMar>
            <w:top w:w="0" w:type="dxa"/>
            <w:left w:w="108" w:type="dxa"/>
            <w:bottom w:w="0" w:type="dxa"/>
            <w:right w:w="108" w:type="dxa"/>
          </w:tblCellMar>
        </w:tblPrEx>
        <w:trPr>
          <w:trHeight w:val="660" w:hRule="atLeast"/>
        </w:trPr>
        <w:tc>
          <w:tcPr>
            <w:tcW w:w="573" w:type="dxa"/>
            <w:vMerge w:val="continue"/>
            <w:tcBorders>
              <w:top w:val="single" w:color="000000" w:sz="4" w:space="0"/>
              <w:left w:val="single" w:color="000000" w:sz="4" w:space="0"/>
              <w:bottom w:val="single" w:color="000000" w:sz="4" w:space="0"/>
              <w:right w:val="single" w:color="000000" w:sz="4" w:space="0"/>
            </w:tcBorders>
            <w:vAlign w:val="center"/>
          </w:tcPr>
          <w:p w14:paraId="4E0332F0">
            <w:pPr>
              <w:jc w:val="center"/>
              <w:rPr>
                <w:rFonts w:hint="eastAsia" w:ascii="宋体" w:hAnsi="宋体" w:cs="宋体"/>
                <w:color w:val="auto"/>
                <w:szCs w:val="21"/>
                <w:highlight w:val="none"/>
              </w:rPr>
            </w:pPr>
          </w:p>
        </w:tc>
        <w:tc>
          <w:tcPr>
            <w:tcW w:w="1125" w:type="dxa"/>
            <w:vMerge w:val="continue"/>
            <w:tcBorders>
              <w:top w:val="single" w:color="000000" w:sz="4" w:space="0"/>
              <w:left w:val="single" w:color="000000" w:sz="4" w:space="0"/>
              <w:bottom w:val="single" w:color="000000" w:sz="4" w:space="0"/>
              <w:right w:val="single" w:color="000000" w:sz="4" w:space="0"/>
            </w:tcBorders>
            <w:vAlign w:val="center"/>
          </w:tcPr>
          <w:p w14:paraId="6BC60AFC">
            <w:pPr>
              <w:jc w:val="center"/>
              <w:rPr>
                <w:rFonts w:hint="eastAsia" w:ascii="宋体" w:hAnsi="宋体" w:cs="宋体"/>
                <w:color w:val="auto"/>
                <w:szCs w:val="21"/>
                <w:highlight w:val="none"/>
              </w:rPr>
            </w:pPr>
          </w:p>
        </w:tc>
        <w:tc>
          <w:tcPr>
            <w:tcW w:w="1110" w:type="dxa"/>
            <w:vMerge w:val="continue"/>
            <w:tcBorders>
              <w:top w:val="single" w:color="000000" w:sz="4" w:space="0"/>
              <w:left w:val="single" w:color="000000" w:sz="4" w:space="0"/>
              <w:bottom w:val="single" w:color="000000" w:sz="4" w:space="0"/>
              <w:right w:val="single" w:color="000000" w:sz="4" w:space="0"/>
            </w:tcBorders>
            <w:vAlign w:val="center"/>
          </w:tcPr>
          <w:p w14:paraId="27A051AC">
            <w:pPr>
              <w:jc w:val="center"/>
              <w:rPr>
                <w:rFonts w:hint="eastAsia" w:ascii="宋体" w:hAnsi="宋体" w:cs="宋体"/>
                <w:color w:val="auto"/>
                <w:szCs w:val="21"/>
                <w:highlight w:val="none"/>
              </w:rPr>
            </w:pPr>
          </w:p>
        </w:tc>
        <w:tc>
          <w:tcPr>
            <w:tcW w:w="1410" w:type="dxa"/>
            <w:tcBorders>
              <w:top w:val="single" w:color="000000" w:sz="4" w:space="0"/>
              <w:left w:val="single" w:color="000000" w:sz="4" w:space="0"/>
              <w:bottom w:val="single" w:color="000000" w:sz="4" w:space="0"/>
              <w:right w:val="single" w:color="000000" w:sz="4" w:space="0"/>
            </w:tcBorders>
            <w:vAlign w:val="center"/>
          </w:tcPr>
          <w:p w14:paraId="4C69EB28">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外围环境消杀员</w:t>
            </w:r>
          </w:p>
        </w:tc>
        <w:tc>
          <w:tcPr>
            <w:tcW w:w="960" w:type="dxa"/>
            <w:tcBorders>
              <w:top w:val="single" w:color="000000" w:sz="4" w:space="0"/>
              <w:left w:val="single" w:color="000000" w:sz="4" w:space="0"/>
              <w:bottom w:val="single" w:color="000000" w:sz="4" w:space="0"/>
              <w:right w:val="single" w:color="000000" w:sz="4" w:space="0"/>
            </w:tcBorders>
            <w:vAlign w:val="center"/>
          </w:tcPr>
          <w:p w14:paraId="166F35CD">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2</w:t>
            </w:r>
          </w:p>
        </w:tc>
        <w:tc>
          <w:tcPr>
            <w:tcW w:w="1350" w:type="dxa"/>
            <w:tcBorders>
              <w:top w:val="single" w:color="000000" w:sz="4" w:space="0"/>
              <w:left w:val="single" w:color="000000" w:sz="4" w:space="0"/>
              <w:bottom w:val="single" w:color="000000" w:sz="4" w:space="0"/>
              <w:right w:val="single" w:color="000000" w:sz="4" w:space="0"/>
            </w:tcBorders>
            <w:vAlign w:val="center"/>
          </w:tcPr>
          <w:p w14:paraId="436FABE6">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7</w:t>
            </w:r>
          </w:p>
        </w:tc>
        <w:tc>
          <w:tcPr>
            <w:tcW w:w="2295" w:type="dxa"/>
            <w:tcBorders>
              <w:top w:val="single" w:color="000000" w:sz="4" w:space="0"/>
              <w:left w:val="single" w:color="000000" w:sz="4" w:space="0"/>
              <w:bottom w:val="single" w:color="000000" w:sz="4" w:space="0"/>
              <w:right w:val="single" w:color="000000" w:sz="4" w:space="0"/>
            </w:tcBorders>
            <w:vAlign w:val="center"/>
          </w:tcPr>
          <w:p w14:paraId="2E2279C3">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白班8小时</w:t>
            </w:r>
          </w:p>
        </w:tc>
      </w:tr>
      <w:tr w14:paraId="3D3E85BA">
        <w:tblPrEx>
          <w:tblCellMar>
            <w:top w:w="0" w:type="dxa"/>
            <w:left w:w="108" w:type="dxa"/>
            <w:bottom w:w="0" w:type="dxa"/>
            <w:right w:w="108" w:type="dxa"/>
          </w:tblCellMar>
        </w:tblPrEx>
        <w:trPr>
          <w:trHeight w:val="900" w:hRule="atLeast"/>
        </w:trPr>
        <w:tc>
          <w:tcPr>
            <w:tcW w:w="573" w:type="dxa"/>
            <w:tcBorders>
              <w:top w:val="single" w:color="000000" w:sz="4" w:space="0"/>
              <w:left w:val="single" w:color="000000" w:sz="4" w:space="0"/>
              <w:bottom w:val="single" w:color="000000" w:sz="4" w:space="0"/>
              <w:right w:val="single" w:color="000000" w:sz="4" w:space="0"/>
            </w:tcBorders>
            <w:vAlign w:val="center"/>
          </w:tcPr>
          <w:p w14:paraId="28961182">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5</w:t>
            </w:r>
          </w:p>
        </w:tc>
        <w:tc>
          <w:tcPr>
            <w:tcW w:w="1125" w:type="dxa"/>
            <w:tcBorders>
              <w:top w:val="single" w:color="000000" w:sz="4" w:space="0"/>
              <w:left w:val="single" w:color="000000" w:sz="4" w:space="0"/>
              <w:bottom w:val="single" w:color="000000" w:sz="4" w:space="0"/>
              <w:right w:val="single" w:color="000000" w:sz="4" w:space="0"/>
            </w:tcBorders>
            <w:vAlign w:val="center"/>
          </w:tcPr>
          <w:p w14:paraId="202A7F12">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医废处置兼洗衣房</w:t>
            </w:r>
          </w:p>
        </w:tc>
        <w:tc>
          <w:tcPr>
            <w:tcW w:w="1110" w:type="dxa"/>
            <w:tcBorders>
              <w:top w:val="single" w:color="000000" w:sz="4" w:space="0"/>
              <w:left w:val="single" w:color="000000" w:sz="4" w:space="0"/>
              <w:bottom w:val="single" w:color="000000" w:sz="4" w:space="0"/>
              <w:right w:val="single" w:color="000000" w:sz="4" w:space="0"/>
            </w:tcBorders>
            <w:vAlign w:val="center"/>
          </w:tcPr>
          <w:p w14:paraId="19599D06">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2</w:t>
            </w:r>
          </w:p>
        </w:tc>
        <w:tc>
          <w:tcPr>
            <w:tcW w:w="1410" w:type="dxa"/>
            <w:tcBorders>
              <w:top w:val="single" w:color="000000" w:sz="4" w:space="0"/>
              <w:left w:val="single" w:color="000000" w:sz="4" w:space="0"/>
              <w:bottom w:val="single" w:color="000000" w:sz="4" w:space="0"/>
              <w:right w:val="single" w:color="000000" w:sz="4" w:space="0"/>
            </w:tcBorders>
            <w:vAlign w:val="center"/>
          </w:tcPr>
          <w:p w14:paraId="1DE9AD99">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医废转运员兼洗衣工</w:t>
            </w:r>
          </w:p>
        </w:tc>
        <w:tc>
          <w:tcPr>
            <w:tcW w:w="960" w:type="dxa"/>
            <w:tcBorders>
              <w:top w:val="single" w:color="000000" w:sz="4" w:space="0"/>
              <w:left w:val="single" w:color="000000" w:sz="4" w:space="0"/>
              <w:bottom w:val="single" w:color="000000" w:sz="4" w:space="0"/>
              <w:right w:val="single" w:color="000000" w:sz="4" w:space="0"/>
            </w:tcBorders>
            <w:vAlign w:val="center"/>
          </w:tcPr>
          <w:p w14:paraId="28B585D3">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2</w:t>
            </w:r>
          </w:p>
        </w:tc>
        <w:tc>
          <w:tcPr>
            <w:tcW w:w="1350" w:type="dxa"/>
            <w:tcBorders>
              <w:top w:val="single" w:color="000000" w:sz="4" w:space="0"/>
              <w:left w:val="single" w:color="000000" w:sz="4" w:space="0"/>
              <w:bottom w:val="single" w:color="000000" w:sz="4" w:space="0"/>
              <w:right w:val="single" w:color="000000" w:sz="4" w:space="0"/>
            </w:tcBorders>
            <w:vAlign w:val="center"/>
          </w:tcPr>
          <w:p w14:paraId="56DBAED1">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6</w:t>
            </w:r>
          </w:p>
        </w:tc>
        <w:tc>
          <w:tcPr>
            <w:tcW w:w="2295" w:type="dxa"/>
            <w:tcBorders>
              <w:top w:val="single" w:color="000000" w:sz="4" w:space="0"/>
              <w:left w:val="single" w:color="000000" w:sz="4" w:space="0"/>
              <w:bottom w:val="single" w:color="000000" w:sz="4" w:space="0"/>
              <w:right w:val="single" w:color="000000" w:sz="4" w:space="0"/>
            </w:tcBorders>
            <w:vAlign w:val="center"/>
          </w:tcPr>
          <w:p w14:paraId="44CE667C">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白班8小时，周末及法定节假日至少1人在岗</w:t>
            </w:r>
          </w:p>
        </w:tc>
      </w:tr>
      <w:tr w14:paraId="5F01C245">
        <w:tblPrEx>
          <w:tblCellMar>
            <w:top w:w="0" w:type="dxa"/>
            <w:left w:w="108" w:type="dxa"/>
            <w:bottom w:w="0" w:type="dxa"/>
            <w:right w:w="108" w:type="dxa"/>
          </w:tblCellMar>
        </w:tblPrEx>
        <w:trPr>
          <w:trHeight w:val="660" w:hRule="atLeast"/>
        </w:trPr>
        <w:tc>
          <w:tcPr>
            <w:tcW w:w="573" w:type="dxa"/>
            <w:vMerge w:val="restart"/>
            <w:tcBorders>
              <w:top w:val="single" w:color="000000" w:sz="4" w:space="0"/>
              <w:left w:val="single" w:color="000000" w:sz="4" w:space="0"/>
              <w:bottom w:val="single" w:color="000000" w:sz="4" w:space="0"/>
              <w:right w:val="single" w:color="000000" w:sz="4" w:space="0"/>
            </w:tcBorders>
            <w:vAlign w:val="center"/>
          </w:tcPr>
          <w:p w14:paraId="229D12E1">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6</w:t>
            </w:r>
          </w:p>
        </w:tc>
        <w:tc>
          <w:tcPr>
            <w:tcW w:w="1125" w:type="dxa"/>
            <w:vMerge w:val="restart"/>
            <w:tcBorders>
              <w:top w:val="single" w:color="000000" w:sz="4" w:space="0"/>
              <w:left w:val="single" w:color="000000" w:sz="4" w:space="0"/>
              <w:bottom w:val="single" w:color="000000" w:sz="4" w:space="0"/>
              <w:right w:val="single" w:color="000000" w:sz="4" w:space="0"/>
            </w:tcBorders>
            <w:vAlign w:val="center"/>
          </w:tcPr>
          <w:p w14:paraId="7EEA0133">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食堂</w:t>
            </w:r>
          </w:p>
        </w:tc>
        <w:tc>
          <w:tcPr>
            <w:tcW w:w="1110" w:type="dxa"/>
            <w:vMerge w:val="restart"/>
            <w:tcBorders>
              <w:top w:val="single" w:color="000000" w:sz="4" w:space="0"/>
              <w:left w:val="single" w:color="000000" w:sz="4" w:space="0"/>
              <w:bottom w:val="single" w:color="000000" w:sz="4" w:space="0"/>
              <w:right w:val="single" w:color="000000" w:sz="4" w:space="0"/>
            </w:tcBorders>
            <w:vAlign w:val="center"/>
          </w:tcPr>
          <w:p w14:paraId="723CFBF5">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11</w:t>
            </w:r>
          </w:p>
        </w:tc>
        <w:tc>
          <w:tcPr>
            <w:tcW w:w="1410" w:type="dxa"/>
            <w:tcBorders>
              <w:top w:val="single" w:color="000000" w:sz="4" w:space="0"/>
              <w:left w:val="single" w:color="000000" w:sz="4" w:space="0"/>
              <w:bottom w:val="single" w:color="000000" w:sz="4" w:space="0"/>
              <w:right w:val="single" w:color="000000" w:sz="4" w:space="0"/>
            </w:tcBorders>
            <w:vAlign w:val="center"/>
          </w:tcPr>
          <w:p w14:paraId="289ADEB7">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厨师</w:t>
            </w:r>
          </w:p>
        </w:tc>
        <w:tc>
          <w:tcPr>
            <w:tcW w:w="960" w:type="dxa"/>
            <w:tcBorders>
              <w:top w:val="single" w:color="000000" w:sz="4" w:space="0"/>
              <w:left w:val="single" w:color="000000" w:sz="4" w:space="0"/>
              <w:bottom w:val="single" w:color="000000" w:sz="4" w:space="0"/>
              <w:right w:val="single" w:color="000000" w:sz="4" w:space="0"/>
            </w:tcBorders>
            <w:vAlign w:val="center"/>
          </w:tcPr>
          <w:p w14:paraId="585EDDEF">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3</w:t>
            </w:r>
          </w:p>
        </w:tc>
        <w:tc>
          <w:tcPr>
            <w:tcW w:w="1350" w:type="dxa"/>
            <w:tcBorders>
              <w:top w:val="single" w:color="000000" w:sz="4" w:space="0"/>
              <w:left w:val="single" w:color="000000" w:sz="4" w:space="0"/>
              <w:bottom w:val="single" w:color="000000" w:sz="4" w:space="0"/>
              <w:right w:val="single" w:color="000000" w:sz="4" w:space="0"/>
            </w:tcBorders>
            <w:vAlign w:val="center"/>
          </w:tcPr>
          <w:p w14:paraId="4A74F04B">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6</w:t>
            </w:r>
          </w:p>
        </w:tc>
        <w:tc>
          <w:tcPr>
            <w:tcW w:w="2295" w:type="dxa"/>
            <w:tcBorders>
              <w:top w:val="single" w:color="000000" w:sz="4" w:space="0"/>
              <w:left w:val="single" w:color="000000" w:sz="4" w:space="0"/>
              <w:bottom w:val="single" w:color="000000" w:sz="4" w:space="0"/>
              <w:right w:val="single" w:color="000000" w:sz="4" w:space="0"/>
            </w:tcBorders>
            <w:vAlign w:val="center"/>
          </w:tcPr>
          <w:p w14:paraId="03333841">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白班8小时，周末及法定节假日至少1人在岗</w:t>
            </w:r>
          </w:p>
        </w:tc>
      </w:tr>
      <w:tr w14:paraId="52B163B4">
        <w:tblPrEx>
          <w:tblCellMar>
            <w:top w:w="0" w:type="dxa"/>
            <w:left w:w="108" w:type="dxa"/>
            <w:bottom w:w="0" w:type="dxa"/>
            <w:right w:w="108" w:type="dxa"/>
          </w:tblCellMar>
        </w:tblPrEx>
        <w:trPr>
          <w:trHeight w:val="660" w:hRule="atLeast"/>
        </w:trPr>
        <w:tc>
          <w:tcPr>
            <w:tcW w:w="573" w:type="dxa"/>
            <w:vMerge w:val="continue"/>
            <w:tcBorders>
              <w:top w:val="single" w:color="000000" w:sz="4" w:space="0"/>
              <w:left w:val="single" w:color="000000" w:sz="4" w:space="0"/>
              <w:bottom w:val="single" w:color="000000" w:sz="4" w:space="0"/>
              <w:right w:val="single" w:color="000000" w:sz="4" w:space="0"/>
            </w:tcBorders>
            <w:vAlign w:val="center"/>
          </w:tcPr>
          <w:p w14:paraId="6186B4CC">
            <w:pPr>
              <w:jc w:val="center"/>
              <w:rPr>
                <w:rFonts w:hint="eastAsia" w:ascii="宋体" w:hAnsi="宋体" w:cs="宋体"/>
                <w:color w:val="auto"/>
                <w:szCs w:val="21"/>
                <w:highlight w:val="none"/>
              </w:rPr>
            </w:pPr>
          </w:p>
        </w:tc>
        <w:tc>
          <w:tcPr>
            <w:tcW w:w="1125" w:type="dxa"/>
            <w:vMerge w:val="continue"/>
            <w:tcBorders>
              <w:top w:val="single" w:color="000000" w:sz="4" w:space="0"/>
              <w:left w:val="single" w:color="000000" w:sz="4" w:space="0"/>
              <w:bottom w:val="single" w:color="000000" w:sz="4" w:space="0"/>
              <w:right w:val="single" w:color="000000" w:sz="4" w:space="0"/>
            </w:tcBorders>
            <w:vAlign w:val="center"/>
          </w:tcPr>
          <w:p w14:paraId="07D2DDE4">
            <w:pPr>
              <w:jc w:val="center"/>
              <w:rPr>
                <w:rFonts w:hint="eastAsia" w:ascii="宋体" w:hAnsi="宋体" w:cs="宋体"/>
                <w:color w:val="auto"/>
                <w:szCs w:val="21"/>
                <w:highlight w:val="none"/>
              </w:rPr>
            </w:pPr>
          </w:p>
        </w:tc>
        <w:tc>
          <w:tcPr>
            <w:tcW w:w="1110" w:type="dxa"/>
            <w:vMerge w:val="continue"/>
            <w:tcBorders>
              <w:top w:val="single" w:color="000000" w:sz="4" w:space="0"/>
              <w:left w:val="single" w:color="000000" w:sz="4" w:space="0"/>
              <w:bottom w:val="single" w:color="000000" w:sz="4" w:space="0"/>
              <w:right w:val="single" w:color="000000" w:sz="4" w:space="0"/>
            </w:tcBorders>
            <w:vAlign w:val="center"/>
          </w:tcPr>
          <w:p w14:paraId="3F9716E5">
            <w:pPr>
              <w:jc w:val="center"/>
              <w:rPr>
                <w:rFonts w:hint="eastAsia" w:ascii="宋体" w:hAnsi="宋体" w:cs="宋体"/>
                <w:color w:val="auto"/>
                <w:szCs w:val="21"/>
                <w:highlight w:val="none"/>
              </w:rPr>
            </w:pPr>
          </w:p>
        </w:tc>
        <w:tc>
          <w:tcPr>
            <w:tcW w:w="1410" w:type="dxa"/>
            <w:tcBorders>
              <w:top w:val="single" w:color="000000" w:sz="4" w:space="0"/>
              <w:left w:val="single" w:color="000000" w:sz="4" w:space="0"/>
              <w:bottom w:val="single" w:color="000000" w:sz="4" w:space="0"/>
              <w:right w:val="single" w:color="000000" w:sz="4" w:space="0"/>
            </w:tcBorders>
            <w:vAlign w:val="center"/>
          </w:tcPr>
          <w:p w14:paraId="22562955">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帮厨</w:t>
            </w:r>
          </w:p>
        </w:tc>
        <w:tc>
          <w:tcPr>
            <w:tcW w:w="960" w:type="dxa"/>
            <w:tcBorders>
              <w:top w:val="single" w:color="000000" w:sz="4" w:space="0"/>
              <w:left w:val="single" w:color="000000" w:sz="4" w:space="0"/>
              <w:bottom w:val="single" w:color="000000" w:sz="4" w:space="0"/>
              <w:right w:val="single" w:color="000000" w:sz="4" w:space="0"/>
            </w:tcBorders>
            <w:vAlign w:val="center"/>
          </w:tcPr>
          <w:p w14:paraId="5E7C690F">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6</w:t>
            </w:r>
          </w:p>
        </w:tc>
        <w:tc>
          <w:tcPr>
            <w:tcW w:w="1350" w:type="dxa"/>
            <w:tcBorders>
              <w:top w:val="single" w:color="000000" w:sz="4" w:space="0"/>
              <w:left w:val="single" w:color="000000" w:sz="4" w:space="0"/>
              <w:bottom w:val="single" w:color="000000" w:sz="4" w:space="0"/>
              <w:right w:val="single" w:color="000000" w:sz="4" w:space="0"/>
            </w:tcBorders>
            <w:vAlign w:val="center"/>
          </w:tcPr>
          <w:p w14:paraId="65D753B7">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6</w:t>
            </w:r>
          </w:p>
        </w:tc>
        <w:tc>
          <w:tcPr>
            <w:tcW w:w="2295" w:type="dxa"/>
            <w:tcBorders>
              <w:top w:val="single" w:color="000000" w:sz="4" w:space="0"/>
              <w:left w:val="single" w:color="000000" w:sz="4" w:space="0"/>
              <w:bottom w:val="single" w:color="000000" w:sz="4" w:space="0"/>
              <w:right w:val="single" w:color="000000" w:sz="4" w:space="0"/>
            </w:tcBorders>
            <w:vAlign w:val="center"/>
          </w:tcPr>
          <w:p w14:paraId="10B38992">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白班8小时，周末及法定节假日至少3人在岗</w:t>
            </w:r>
          </w:p>
        </w:tc>
      </w:tr>
      <w:tr w14:paraId="67BFC7ED">
        <w:tblPrEx>
          <w:tblCellMar>
            <w:top w:w="0" w:type="dxa"/>
            <w:left w:w="108" w:type="dxa"/>
            <w:bottom w:w="0" w:type="dxa"/>
            <w:right w:w="108" w:type="dxa"/>
          </w:tblCellMar>
        </w:tblPrEx>
        <w:trPr>
          <w:trHeight w:val="660" w:hRule="atLeast"/>
        </w:trPr>
        <w:tc>
          <w:tcPr>
            <w:tcW w:w="573" w:type="dxa"/>
            <w:vMerge w:val="continue"/>
            <w:tcBorders>
              <w:top w:val="single" w:color="000000" w:sz="4" w:space="0"/>
              <w:left w:val="single" w:color="000000" w:sz="4" w:space="0"/>
              <w:bottom w:val="single" w:color="000000" w:sz="4" w:space="0"/>
              <w:right w:val="single" w:color="000000" w:sz="4" w:space="0"/>
            </w:tcBorders>
            <w:vAlign w:val="center"/>
          </w:tcPr>
          <w:p w14:paraId="7A4ADD09">
            <w:pPr>
              <w:jc w:val="center"/>
              <w:rPr>
                <w:rFonts w:hint="eastAsia" w:ascii="宋体" w:hAnsi="宋体" w:cs="宋体"/>
                <w:color w:val="auto"/>
                <w:szCs w:val="21"/>
                <w:highlight w:val="none"/>
              </w:rPr>
            </w:pPr>
          </w:p>
        </w:tc>
        <w:tc>
          <w:tcPr>
            <w:tcW w:w="1125" w:type="dxa"/>
            <w:vMerge w:val="continue"/>
            <w:tcBorders>
              <w:top w:val="single" w:color="000000" w:sz="4" w:space="0"/>
              <w:left w:val="single" w:color="000000" w:sz="4" w:space="0"/>
              <w:bottom w:val="single" w:color="000000" w:sz="4" w:space="0"/>
              <w:right w:val="single" w:color="000000" w:sz="4" w:space="0"/>
            </w:tcBorders>
            <w:vAlign w:val="center"/>
          </w:tcPr>
          <w:p w14:paraId="250E8AA6">
            <w:pPr>
              <w:jc w:val="center"/>
              <w:rPr>
                <w:rFonts w:hint="eastAsia" w:ascii="宋体" w:hAnsi="宋体" w:cs="宋体"/>
                <w:color w:val="auto"/>
                <w:szCs w:val="21"/>
                <w:highlight w:val="none"/>
              </w:rPr>
            </w:pPr>
          </w:p>
        </w:tc>
        <w:tc>
          <w:tcPr>
            <w:tcW w:w="1110" w:type="dxa"/>
            <w:vMerge w:val="continue"/>
            <w:tcBorders>
              <w:top w:val="single" w:color="000000" w:sz="4" w:space="0"/>
              <w:left w:val="single" w:color="000000" w:sz="4" w:space="0"/>
              <w:bottom w:val="single" w:color="000000" w:sz="4" w:space="0"/>
              <w:right w:val="single" w:color="000000" w:sz="4" w:space="0"/>
            </w:tcBorders>
            <w:vAlign w:val="center"/>
          </w:tcPr>
          <w:p w14:paraId="39E9B6D5">
            <w:pPr>
              <w:jc w:val="center"/>
              <w:rPr>
                <w:rFonts w:hint="eastAsia" w:ascii="宋体" w:hAnsi="宋体" w:cs="宋体"/>
                <w:color w:val="auto"/>
                <w:szCs w:val="21"/>
                <w:highlight w:val="none"/>
              </w:rPr>
            </w:pPr>
          </w:p>
        </w:tc>
        <w:tc>
          <w:tcPr>
            <w:tcW w:w="1410" w:type="dxa"/>
            <w:tcBorders>
              <w:top w:val="single" w:color="000000" w:sz="4" w:space="0"/>
              <w:left w:val="single" w:color="000000" w:sz="4" w:space="0"/>
              <w:bottom w:val="single" w:color="000000" w:sz="4" w:space="0"/>
              <w:right w:val="single" w:color="000000" w:sz="4" w:space="0"/>
            </w:tcBorders>
            <w:vAlign w:val="center"/>
          </w:tcPr>
          <w:p w14:paraId="5617C984">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早餐/送餐</w:t>
            </w:r>
          </w:p>
        </w:tc>
        <w:tc>
          <w:tcPr>
            <w:tcW w:w="960" w:type="dxa"/>
            <w:tcBorders>
              <w:top w:val="single" w:color="000000" w:sz="4" w:space="0"/>
              <w:left w:val="single" w:color="000000" w:sz="4" w:space="0"/>
              <w:bottom w:val="single" w:color="000000" w:sz="4" w:space="0"/>
              <w:right w:val="single" w:color="000000" w:sz="4" w:space="0"/>
            </w:tcBorders>
            <w:vAlign w:val="center"/>
          </w:tcPr>
          <w:p w14:paraId="699AB95F">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2</w:t>
            </w:r>
          </w:p>
        </w:tc>
        <w:tc>
          <w:tcPr>
            <w:tcW w:w="1350" w:type="dxa"/>
            <w:tcBorders>
              <w:top w:val="single" w:color="000000" w:sz="4" w:space="0"/>
              <w:left w:val="single" w:color="000000" w:sz="4" w:space="0"/>
              <w:bottom w:val="single" w:color="000000" w:sz="4" w:space="0"/>
              <w:right w:val="single" w:color="000000" w:sz="4" w:space="0"/>
            </w:tcBorders>
            <w:vAlign w:val="center"/>
          </w:tcPr>
          <w:p w14:paraId="6FC66B58">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6</w:t>
            </w:r>
          </w:p>
        </w:tc>
        <w:tc>
          <w:tcPr>
            <w:tcW w:w="2295" w:type="dxa"/>
            <w:tcBorders>
              <w:top w:val="single" w:color="000000" w:sz="4" w:space="0"/>
              <w:left w:val="single" w:color="000000" w:sz="4" w:space="0"/>
              <w:bottom w:val="single" w:color="000000" w:sz="4" w:space="0"/>
              <w:right w:val="single" w:color="000000" w:sz="4" w:space="0"/>
            </w:tcBorders>
            <w:vAlign w:val="center"/>
          </w:tcPr>
          <w:p w14:paraId="2A10F626">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周末及法定节假日至少1人在岗</w:t>
            </w:r>
          </w:p>
        </w:tc>
      </w:tr>
      <w:tr w14:paraId="7CF0FC2B">
        <w:tblPrEx>
          <w:tblCellMar>
            <w:top w:w="0" w:type="dxa"/>
            <w:left w:w="108" w:type="dxa"/>
            <w:bottom w:w="0" w:type="dxa"/>
            <w:right w:w="108" w:type="dxa"/>
          </w:tblCellMar>
        </w:tblPrEx>
        <w:trPr>
          <w:trHeight w:val="660" w:hRule="atLeast"/>
        </w:trPr>
        <w:tc>
          <w:tcPr>
            <w:tcW w:w="573" w:type="dxa"/>
            <w:tcBorders>
              <w:top w:val="single" w:color="000000" w:sz="4" w:space="0"/>
              <w:left w:val="single" w:color="000000" w:sz="4" w:space="0"/>
              <w:bottom w:val="single" w:color="000000" w:sz="4" w:space="0"/>
              <w:right w:val="single" w:color="000000" w:sz="4" w:space="0"/>
            </w:tcBorders>
            <w:vAlign w:val="center"/>
          </w:tcPr>
          <w:p w14:paraId="4365AACF">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7</w:t>
            </w:r>
          </w:p>
        </w:tc>
        <w:tc>
          <w:tcPr>
            <w:tcW w:w="1125" w:type="dxa"/>
            <w:tcBorders>
              <w:top w:val="single" w:color="000000" w:sz="4" w:space="0"/>
              <w:left w:val="single" w:color="000000" w:sz="4" w:space="0"/>
              <w:bottom w:val="single" w:color="000000" w:sz="4" w:space="0"/>
              <w:right w:val="single" w:color="000000" w:sz="4" w:space="0"/>
            </w:tcBorders>
            <w:vAlign w:val="center"/>
          </w:tcPr>
          <w:p w14:paraId="2E56ADA1">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药房</w:t>
            </w:r>
          </w:p>
        </w:tc>
        <w:tc>
          <w:tcPr>
            <w:tcW w:w="1110" w:type="dxa"/>
            <w:tcBorders>
              <w:top w:val="single" w:color="000000" w:sz="4" w:space="0"/>
              <w:left w:val="single" w:color="000000" w:sz="4" w:space="0"/>
              <w:bottom w:val="single" w:color="000000" w:sz="4" w:space="0"/>
              <w:right w:val="single" w:color="000000" w:sz="4" w:space="0"/>
            </w:tcBorders>
            <w:vAlign w:val="center"/>
          </w:tcPr>
          <w:p w14:paraId="4E4FB894">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1</w:t>
            </w:r>
          </w:p>
        </w:tc>
        <w:tc>
          <w:tcPr>
            <w:tcW w:w="1410" w:type="dxa"/>
            <w:tcBorders>
              <w:top w:val="single" w:color="000000" w:sz="4" w:space="0"/>
              <w:left w:val="single" w:color="000000" w:sz="4" w:space="0"/>
              <w:bottom w:val="single" w:color="000000" w:sz="4" w:space="0"/>
              <w:right w:val="single" w:color="000000" w:sz="4" w:space="0"/>
            </w:tcBorders>
            <w:vAlign w:val="center"/>
          </w:tcPr>
          <w:p w14:paraId="6368DD5B">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药房辅助人员</w:t>
            </w:r>
          </w:p>
        </w:tc>
        <w:tc>
          <w:tcPr>
            <w:tcW w:w="960" w:type="dxa"/>
            <w:tcBorders>
              <w:top w:val="single" w:color="000000" w:sz="4" w:space="0"/>
              <w:left w:val="single" w:color="000000" w:sz="4" w:space="0"/>
              <w:bottom w:val="single" w:color="000000" w:sz="4" w:space="0"/>
              <w:right w:val="single" w:color="000000" w:sz="4" w:space="0"/>
            </w:tcBorders>
            <w:vAlign w:val="center"/>
          </w:tcPr>
          <w:p w14:paraId="4900D2DC">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1</w:t>
            </w:r>
          </w:p>
        </w:tc>
        <w:tc>
          <w:tcPr>
            <w:tcW w:w="1350" w:type="dxa"/>
            <w:tcBorders>
              <w:top w:val="single" w:color="000000" w:sz="4" w:space="0"/>
              <w:left w:val="single" w:color="000000" w:sz="4" w:space="0"/>
              <w:bottom w:val="single" w:color="000000" w:sz="4" w:space="0"/>
              <w:right w:val="single" w:color="000000" w:sz="4" w:space="0"/>
            </w:tcBorders>
            <w:vAlign w:val="center"/>
          </w:tcPr>
          <w:p w14:paraId="3FA623DA">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5</w:t>
            </w:r>
          </w:p>
        </w:tc>
        <w:tc>
          <w:tcPr>
            <w:tcW w:w="2295" w:type="dxa"/>
            <w:tcBorders>
              <w:top w:val="single" w:color="000000" w:sz="4" w:space="0"/>
              <w:left w:val="single" w:color="000000" w:sz="4" w:space="0"/>
              <w:bottom w:val="single" w:color="000000" w:sz="4" w:space="0"/>
              <w:right w:val="single" w:color="000000" w:sz="4" w:space="0"/>
            </w:tcBorders>
            <w:vAlign w:val="center"/>
          </w:tcPr>
          <w:p w14:paraId="63BA4B8B">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工作日白班8小时</w:t>
            </w:r>
          </w:p>
        </w:tc>
      </w:tr>
      <w:tr w14:paraId="0E90537C">
        <w:tblPrEx>
          <w:tblCellMar>
            <w:top w:w="0" w:type="dxa"/>
            <w:left w:w="108" w:type="dxa"/>
            <w:bottom w:w="0" w:type="dxa"/>
            <w:right w:w="108" w:type="dxa"/>
          </w:tblCellMar>
        </w:tblPrEx>
        <w:trPr>
          <w:trHeight w:val="660" w:hRule="atLeast"/>
        </w:trPr>
        <w:tc>
          <w:tcPr>
            <w:tcW w:w="573" w:type="dxa"/>
            <w:tcBorders>
              <w:top w:val="single" w:color="000000" w:sz="4" w:space="0"/>
              <w:left w:val="single" w:color="000000" w:sz="4" w:space="0"/>
              <w:bottom w:val="single" w:color="000000" w:sz="4" w:space="0"/>
              <w:right w:val="single" w:color="000000" w:sz="4" w:space="0"/>
            </w:tcBorders>
            <w:vAlign w:val="center"/>
          </w:tcPr>
          <w:p w14:paraId="4406F44F">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8</w:t>
            </w:r>
          </w:p>
        </w:tc>
        <w:tc>
          <w:tcPr>
            <w:tcW w:w="1125" w:type="dxa"/>
            <w:tcBorders>
              <w:top w:val="single" w:color="000000" w:sz="4" w:space="0"/>
              <w:left w:val="single" w:color="000000" w:sz="4" w:space="0"/>
              <w:bottom w:val="single" w:color="000000" w:sz="4" w:space="0"/>
              <w:right w:val="single" w:color="000000" w:sz="4" w:space="0"/>
            </w:tcBorders>
            <w:vAlign w:val="center"/>
          </w:tcPr>
          <w:p w14:paraId="59D749BF">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运送</w:t>
            </w:r>
          </w:p>
        </w:tc>
        <w:tc>
          <w:tcPr>
            <w:tcW w:w="1110" w:type="dxa"/>
            <w:tcBorders>
              <w:top w:val="single" w:color="000000" w:sz="4" w:space="0"/>
              <w:left w:val="single" w:color="000000" w:sz="4" w:space="0"/>
              <w:bottom w:val="single" w:color="000000" w:sz="4" w:space="0"/>
              <w:right w:val="single" w:color="000000" w:sz="4" w:space="0"/>
            </w:tcBorders>
            <w:vAlign w:val="center"/>
          </w:tcPr>
          <w:p w14:paraId="3335166E">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2</w:t>
            </w:r>
          </w:p>
        </w:tc>
        <w:tc>
          <w:tcPr>
            <w:tcW w:w="1410" w:type="dxa"/>
            <w:tcBorders>
              <w:top w:val="single" w:color="000000" w:sz="4" w:space="0"/>
              <w:left w:val="single" w:color="000000" w:sz="4" w:space="0"/>
              <w:bottom w:val="single" w:color="000000" w:sz="4" w:space="0"/>
              <w:right w:val="single" w:color="000000" w:sz="4" w:space="0"/>
            </w:tcBorders>
            <w:vAlign w:val="center"/>
          </w:tcPr>
          <w:p w14:paraId="16AA3EF9">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标本运送</w:t>
            </w:r>
          </w:p>
        </w:tc>
        <w:tc>
          <w:tcPr>
            <w:tcW w:w="960" w:type="dxa"/>
            <w:tcBorders>
              <w:top w:val="single" w:color="000000" w:sz="4" w:space="0"/>
              <w:left w:val="single" w:color="000000" w:sz="4" w:space="0"/>
              <w:bottom w:val="single" w:color="000000" w:sz="4" w:space="0"/>
              <w:right w:val="single" w:color="000000" w:sz="4" w:space="0"/>
            </w:tcBorders>
            <w:vAlign w:val="center"/>
          </w:tcPr>
          <w:p w14:paraId="1C3E9519">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2</w:t>
            </w:r>
          </w:p>
        </w:tc>
        <w:tc>
          <w:tcPr>
            <w:tcW w:w="1350" w:type="dxa"/>
            <w:tcBorders>
              <w:top w:val="single" w:color="000000" w:sz="4" w:space="0"/>
              <w:left w:val="single" w:color="000000" w:sz="4" w:space="0"/>
              <w:bottom w:val="single" w:color="000000" w:sz="4" w:space="0"/>
              <w:right w:val="single" w:color="000000" w:sz="4" w:space="0"/>
            </w:tcBorders>
            <w:vAlign w:val="center"/>
          </w:tcPr>
          <w:p w14:paraId="27EAB43A">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6</w:t>
            </w:r>
          </w:p>
        </w:tc>
        <w:tc>
          <w:tcPr>
            <w:tcW w:w="2295" w:type="dxa"/>
            <w:tcBorders>
              <w:top w:val="single" w:color="000000" w:sz="4" w:space="0"/>
              <w:left w:val="single" w:color="000000" w:sz="4" w:space="0"/>
              <w:bottom w:val="single" w:color="000000" w:sz="4" w:space="0"/>
              <w:right w:val="single" w:color="000000" w:sz="4" w:space="0"/>
            </w:tcBorders>
            <w:vAlign w:val="center"/>
          </w:tcPr>
          <w:p w14:paraId="7210EE3B">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白班8小时，周末及法定节假日至少1人在岗</w:t>
            </w:r>
          </w:p>
        </w:tc>
      </w:tr>
      <w:tr w14:paraId="50EE717F">
        <w:tblPrEx>
          <w:tblCellMar>
            <w:top w:w="0" w:type="dxa"/>
            <w:left w:w="108" w:type="dxa"/>
            <w:bottom w:w="0" w:type="dxa"/>
            <w:right w:w="108" w:type="dxa"/>
          </w:tblCellMar>
        </w:tblPrEx>
        <w:trPr>
          <w:trHeight w:val="660" w:hRule="atLeast"/>
        </w:trPr>
        <w:tc>
          <w:tcPr>
            <w:tcW w:w="573" w:type="dxa"/>
            <w:tcBorders>
              <w:top w:val="single" w:color="000000" w:sz="4" w:space="0"/>
              <w:left w:val="single" w:color="000000" w:sz="4" w:space="0"/>
              <w:bottom w:val="single" w:color="000000" w:sz="4" w:space="0"/>
              <w:right w:val="single" w:color="000000" w:sz="4" w:space="0"/>
            </w:tcBorders>
            <w:vAlign w:val="center"/>
          </w:tcPr>
          <w:p w14:paraId="51DF6DE0">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9</w:t>
            </w:r>
          </w:p>
        </w:tc>
        <w:tc>
          <w:tcPr>
            <w:tcW w:w="1125" w:type="dxa"/>
            <w:tcBorders>
              <w:top w:val="single" w:color="000000" w:sz="4" w:space="0"/>
              <w:left w:val="single" w:color="000000" w:sz="4" w:space="0"/>
              <w:bottom w:val="single" w:color="000000" w:sz="4" w:space="0"/>
              <w:right w:val="single" w:color="000000" w:sz="4" w:space="0"/>
            </w:tcBorders>
            <w:vAlign w:val="center"/>
          </w:tcPr>
          <w:p w14:paraId="0386FC33">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污水处理</w:t>
            </w:r>
          </w:p>
        </w:tc>
        <w:tc>
          <w:tcPr>
            <w:tcW w:w="1110" w:type="dxa"/>
            <w:tcBorders>
              <w:top w:val="single" w:color="000000" w:sz="4" w:space="0"/>
              <w:left w:val="single" w:color="000000" w:sz="4" w:space="0"/>
              <w:bottom w:val="single" w:color="000000" w:sz="4" w:space="0"/>
              <w:right w:val="single" w:color="000000" w:sz="4" w:space="0"/>
            </w:tcBorders>
            <w:vAlign w:val="center"/>
          </w:tcPr>
          <w:p w14:paraId="6C85F17D">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1</w:t>
            </w:r>
          </w:p>
        </w:tc>
        <w:tc>
          <w:tcPr>
            <w:tcW w:w="1410" w:type="dxa"/>
            <w:tcBorders>
              <w:top w:val="single" w:color="000000" w:sz="4" w:space="0"/>
              <w:left w:val="single" w:color="000000" w:sz="4" w:space="0"/>
              <w:bottom w:val="single" w:color="000000" w:sz="4" w:space="0"/>
              <w:right w:val="single" w:color="000000" w:sz="4" w:space="0"/>
            </w:tcBorders>
            <w:vAlign w:val="center"/>
          </w:tcPr>
          <w:p w14:paraId="698E34C1">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污水处理员</w:t>
            </w:r>
          </w:p>
        </w:tc>
        <w:tc>
          <w:tcPr>
            <w:tcW w:w="960" w:type="dxa"/>
            <w:tcBorders>
              <w:top w:val="single" w:color="000000" w:sz="4" w:space="0"/>
              <w:left w:val="single" w:color="000000" w:sz="4" w:space="0"/>
              <w:bottom w:val="single" w:color="000000" w:sz="4" w:space="0"/>
              <w:right w:val="single" w:color="000000" w:sz="4" w:space="0"/>
            </w:tcBorders>
            <w:vAlign w:val="center"/>
          </w:tcPr>
          <w:p w14:paraId="0F8AC322">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1</w:t>
            </w:r>
          </w:p>
        </w:tc>
        <w:tc>
          <w:tcPr>
            <w:tcW w:w="1350" w:type="dxa"/>
            <w:tcBorders>
              <w:top w:val="single" w:color="000000" w:sz="4" w:space="0"/>
              <w:left w:val="single" w:color="000000" w:sz="4" w:space="0"/>
              <w:bottom w:val="single" w:color="000000" w:sz="4" w:space="0"/>
              <w:right w:val="single" w:color="000000" w:sz="4" w:space="0"/>
            </w:tcBorders>
            <w:vAlign w:val="center"/>
          </w:tcPr>
          <w:p w14:paraId="596C9BDC">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6</w:t>
            </w:r>
          </w:p>
        </w:tc>
        <w:tc>
          <w:tcPr>
            <w:tcW w:w="2295" w:type="dxa"/>
            <w:tcBorders>
              <w:top w:val="single" w:color="000000" w:sz="4" w:space="0"/>
              <w:left w:val="single" w:color="000000" w:sz="4" w:space="0"/>
              <w:bottom w:val="single" w:color="000000" w:sz="4" w:space="0"/>
              <w:right w:val="single" w:color="000000" w:sz="4" w:space="0"/>
            </w:tcBorders>
            <w:vAlign w:val="center"/>
          </w:tcPr>
          <w:p w14:paraId="36A41CB7">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工作日白班8小时，周末及法定节假日由机动人员顶岗</w:t>
            </w:r>
          </w:p>
        </w:tc>
      </w:tr>
      <w:tr w14:paraId="1340641D">
        <w:tblPrEx>
          <w:tblCellMar>
            <w:top w:w="0" w:type="dxa"/>
            <w:left w:w="108" w:type="dxa"/>
            <w:bottom w:w="0" w:type="dxa"/>
            <w:right w:w="108" w:type="dxa"/>
          </w:tblCellMar>
        </w:tblPrEx>
        <w:trPr>
          <w:trHeight w:val="624" w:hRule="atLeast"/>
        </w:trPr>
        <w:tc>
          <w:tcPr>
            <w:tcW w:w="573" w:type="dxa"/>
            <w:tcBorders>
              <w:top w:val="single" w:color="000000" w:sz="4" w:space="0"/>
              <w:left w:val="single" w:color="000000" w:sz="4" w:space="0"/>
              <w:bottom w:val="single" w:color="000000" w:sz="4" w:space="0"/>
              <w:right w:val="single" w:color="000000" w:sz="4" w:space="0"/>
            </w:tcBorders>
            <w:vAlign w:val="center"/>
          </w:tcPr>
          <w:p w14:paraId="6684E6E2">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10</w:t>
            </w:r>
          </w:p>
        </w:tc>
        <w:tc>
          <w:tcPr>
            <w:tcW w:w="1125" w:type="dxa"/>
            <w:tcBorders>
              <w:top w:val="single" w:color="000000" w:sz="4" w:space="0"/>
              <w:left w:val="single" w:color="000000" w:sz="4" w:space="0"/>
              <w:bottom w:val="single" w:color="000000" w:sz="4" w:space="0"/>
              <w:right w:val="single" w:color="000000" w:sz="4" w:space="0"/>
            </w:tcBorders>
            <w:vAlign w:val="center"/>
          </w:tcPr>
          <w:p w14:paraId="139A4C76">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机动</w:t>
            </w:r>
          </w:p>
        </w:tc>
        <w:tc>
          <w:tcPr>
            <w:tcW w:w="1110" w:type="dxa"/>
            <w:tcBorders>
              <w:top w:val="single" w:color="000000" w:sz="4" w:space="0"/>
              <w:left w:val="single" w:color="000000" w:sz="4" w:space="0"/>
              <w:bottom w:val="single" w:color="000000" w:sz="4" w:space="0"/>
              <w:right w:val="single" w:color="000000" w:sz="4" w:space="0"/>
            </w:tcBorders>
            <w:vAlign w:val="center"/>
          </w:tcPr>
          <w:p w14:paraId="217414F9">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5</w:t>
            </w:r>
          </w:p>
        </w:tc>
        <w:tc>
          <w:tcPr>
            <w:tcW w:w="1410" w:type="dxa"/>
            <w:tcBorders>
              <w:top w:val="single" w:color="000000" w:sz="4" w:space="0"/>
              <w:left w:val="single" w:color="000000" w:sz="4" w:space="0"/>
              <w:bottom w:val="single" w:color="000000" w:sz="4" w:space="0"/>
              <w:right w:val="single" w:color="000000" w:sz="4" w:space="0"/>
            </w:tcBorders>
            <w:vAlign w:val="center"/>
          </w:tcPr>
          <w:p w14:paraId="7D556095">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机动人员</w:t>
            </w:r>
          </w:p>
        </w:tc>
        <w:tc>
          <w:tcPr>
            <w:tcW w:w="960" w:type="dxa"/>
            <w:tcBorders>
              <w:top w:val="single" w:color="000000" w:sz="4" w:space="0"/>
              <w:left w:val="single" w:color="000000" w:sz="4" w:space="0"/>
              <w:bottom w:val="single" w:color="000000" w:sz="4" w:space="0"/>
              <w:right w:val="single" w:color="000000" w:sz="4" w:space="0"/>
            </w:tcBorders>
            <w:vAlign w:val="center"/>
          </w:tcPr>
          <w:p w14:paraId="4F6722F2">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5</w:t>
            </w:r>
          </w:p>
        </w:tc>
        <w:tc>
          <w:tcPr>
            <w:tcW w:w="1350" w:type="dxa"/>
            <w:tcBorders>
              <w:top w:val="single" w:color="000000" w:sz="4" w:space="0"/>
              <w:left w:val="single" w:color="000000" w:sz="4" w:space="0"/>
              <w:bottom w:val="single" w:color="000000" w:sz="4" w:space="0"/>
              <w:right w:val="single" w:color="000000" w:sz="4" w:space="0"/>
            </w:tcBorders>
            <w:vAlign w:val="center"/>
          </w:tcPr>
          <w:p w14:paraId="42B490A1">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6</w:t>
            </w:r>
          </w:p>
        </w:tc>
        <w:tc>
          <w:tcPr>
            <w:tcW w:w="2295" w:type="dxa"/>
            <w:tcBorders>
              <w:top w:val="single" w:color="000000" w:sz="4" w:space="0"/>
              <w:left w:val="single" w:color="000000" w:sz="4" w:space="0"/>
              <w:bottom w:val="single" w:color="000000" w:sz="4" w:space="0"/>
              <w:right w:val="single" w:color="000000" w:sz="4" w:space="0"/>
            </w:tcBorders>
            <w:vAlign w:val="center"/>
          </w:tcPr>
          <w:p w14:paraId="241D4DDA">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周末及法定节假日至少2人在岗</w:t>
            </w:r>
          </w:p>
        </w:tc>
      </w:tr>
      <w:tr w14:paraId="45B8DD83">
        <w:tblPrEx>
          <w:tblCellMar>
            <w:top w:w="0" w:type="dxa"/>
            <w:left w:w="108" w:type="dxa"/>
            <w:bottom w:w="0" w:type="dxa"/>
            <w:right w:w="108" w:type="dxa"/>
          </w:tblCellMar>
        </w:tblPrEx>
        <w:trPr>
          <w:trHeight w:val="660" w:hRule="atLeast"/>
        </w:trPr>
        <w:tc>
          <w:tcPr>
            <w:tcW w:w="1698" w:type="dxa"/>
            <w:gridSpan w:val="2"/>
            <w:tcBorders>
              <w:top w:val="single" w:color="000000" w:sz="4" w:space="0"/>
              <w:left w:val="single" w:color="000000" w:sz="4" w:space="0"/>
              <w:bottom w:val="single" w:color="000000" w:sz="4" w:space="0"/>
              <w:right w:val="single" w:color="000000" w:sz="4" w:space="0"/>
            </w:tcBorders>
            <w:vAlign w:val="center"/>
          </w:tcPr>
          <w:p w14:paraId="284D5DB1">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合计（人）</w:t>
            </w:r>
          </w:p>
        </w:tc>
        <w:tc>
          <w:tcPr>
            <w:tcW w:w="1110" w:type="dxa"/>
            <w:tcBorders>
              <w:top w:val="single" w:color="000000" w:sz="4" w:space="0"/>
              <w:left w:val="single" w:color="000000" w:sz="4" w:space="0"/>
              <w:bottom w:val="single" w:color="000000" w:sz="4" w:space="0"/>
              <w:right w:val="single" w:color="000000" w:sz="4" w:space="0"/>
            </w:tcBorders>
            <w:vAlign w:val="center"/>
          </w:tcPr>
          <w:p w14:paraId="3B1008C5">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48</w:t>
            </w:r>
          </w:p>
        </w:tc>
        <w:tc>
          <w:tcPr>
            <w:tcW w:w="1410" w:type="dxa"/>
            <w:tcBorders>
              <w:top w:val="single" w:color="000000" w:sz="4" w:space="0"/>
              <w:left w:val="single" w:color="000000" w:sz="4" w:space="0"/>
              <w:bottom w:val="single" w:color="000000" w:sz="4" w:space="0"/>
              <w:right w:val="single" w:color="000000" w:sz="4" w:space="0"/>
            </w:tcBorders>
            <w:vAlign w:val="center"/>
          </w:tcPr>
          <w:p w14:paraId="712D539E">
            <w:pPr>
              <w:jc w:val="center"/>
              <w:rPr>
                <w:rFonts w:hint="eastAsia" w:ascii="宋体" w:hAnsi="宋体" w:cs="宋体"/>
                <w:color w:val="auto"/>
                <w:szCs w:val="21"/>
                <w:highlight w:val="none"/>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72EDBD5F">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48</w:t>
            </w:r>
          </w:p>
        </w:tc>
        <w:tc>
          <w:tcPr>
            <w:tcW w:w="1350" w:type="dxa"/>
            <w:tcBorders>
              <w:top w:val="single" w:color="000000" w:sz="4" w:space="0"/>
              <w:left w:val="single" w:color="000000" w:sz="4" w:space="0"/>
              <w:bottom w:val="single" w:color="000000" w:sz="4" w:space="0"/>
              <w:right w:val="single" w:color="000000" w:sz="4" w:space="0"/>
            </w:tcBorders>
            <w:vAlign w:val="center"/>
          </w:tcPr>
          <w:p w14:paraId="2586D1C9">
            <w:pPr>
              <w:jc w:val="center"/>
              <w:rPr>
                <w:rFonts w:hint="eastAsia" w:ascii="宋体" w:hAnsi="宋体" w:cs="宋体"/>
                <w:color w:val="auto"/>
                <w:szCs w:val="21"/>
                <w:highlight w:val="none"/>
              </w:rPr>
            </w:pPr>
          </w:p>
        </w:tc>
        <w:tc>
          <w:tcPr>
            <w:tcW w:w="2295" w:type="dxa"/>
            <w:tcBorders>
              <w:top w:val="single" w:color="000000" w:sz="4" w:space="0"/>
              <w:left w:val="single" w:color="000000" w:sz="4" w:space="0"/>
              <w:bottom w:val="single" w:color="000000" w:sz="4" w:space="0"/>
              <w:right w:val="single" w:color="000000" w:sz="4" w:space="0"/>
            </w:tcBorders>
            <w:vAlign w:val="center"/>
          </w:tcPr>
          <w:p w14:paraId="402AD1A1">
            <w:pPr>
              <w:jc w:val="center"/>
              <w:rPr>
                <w:rFonts w:hint="eastAsia" w:ascii="宋体" w:hAnsi="宋体" w:cs="宋体"/>
                <w:color w:val="auto"/>
                <w:szCs w:val="21"/>
                <w:highlight w:val="none"/>
              </w:rPr>
            </w:pPr>
          </w:p>
        </w:tc>
      </w:tr>
      <w:tr w14:paraId="646F0226">
        <w:tblPrEx>
          <w:tblCellMar>
            <w:top w:w="0" w:type="dxa"/>
            <w:left w:w="108" w:type="dxa"/>
            <w:bottom w:w="0" w:type="dxa"/>
            <w:right w:w="108" w:type="dxa"/>
          </w:tblCellMar>
        </w:tblPrEx>
        <w:trPr>
          <w:trHeight w:val="1509" w:hRule="atLeast"/>
        </w:trPr>
        <w:tc>
          <w:tcPr>
            <w:tcW w:w="8823" w:type="dxa"/>
            <w:gridSpan w:val="7"/>
            <w:tcBorders>
              <w:top w:val="single" w:color="000000" w:sz="4" w:space="0"/>
              <w:left w:val="single" w:color="000000" w:sz="4" w:space="0"/>
              <w:bottom w:val="single" w:color="000000" w:sz="4" w:space="0"/>
              <w:right w:val="single" w:color="000000" w:sz="4" w:space="0"/>
            </w:tcBorders>
            <w:vAlign w:val="center"/>
          </w:tcPr>
          <w:p w14:paraId="6016C421">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说明：1、员工工作时间按每周六天计算；2、表内周工作时间为该岗位工作时间，涉及岗位间调配（岗位周工作时间如超出六天，由机动人员或其他周工时间不足六天人员调配）；3、法定国假日期间由项目经理、病区主管及文员轮流值班，每日1人在岗。4、所有岗位人员均不超60周岁。</w:t>
            </w:r>
          </w:p>
        </w:tc>
      </w:tr>
    </w:tbl>
    <w:p w14:paraId="11B255AE">
      <w:pPr>
        <w:pStyle w:val="34"/>
        <w:spacing w:line="400" w:lineRule="exact"/>
        <w:ind w:firstLine="0"/>
        <w:rPr>
          <w:rFonts w:hint="eastAsia" w:ascii="宋体" w:hAnsi="宋体" w:cs="宋体"/>
          <w:color w:val="auto"/>
          <w:sz w:val="21"/>
          <w:szCs w:val="21"/>
          <w:highlight w:val="none"/>
        </w:rPr>
      </w:pPr>
      <w:r>
        <w:rPr>
          <w:rFonts w:hint="eastAsia" w:ascii="宋体" w:hAnsi="宋体"/>
          <w:color w:val="auto"/>
          <w:sz w:val="21"/>
          <w:szCs w:val="21"/>
          <w:highlight w:val="none"/>
        </w:rPr>
        <w:t>3、任职资格：护理员、保管员人员需初中及以上学历，经过岗前培训后方能上岗；环境消杀员需识字、具备完成岗位要求的书面记录等能力；其中五病区为女病区，所用人员为女性。具有精神专科类医院服务经验优先。</w:t>
      </w:r>
    </w:p>
    <w:p w14:paraId="018DC0F1">
      <w:pPr>
        <w:numPr>
          <w:ilvl w:val="0"/>
          <w:numId w:val="2"/>
        </w:numPr>
        <w:spacing w:line="440" w:lineRule="exact"/>
        <w:ind w:left="5" w:firstLine="415"/>
        <w:rPr>
          <w:color w:val="auto"/>
          <w:highlight w:val="none"/>
        </w:rPr>
      </w:pPr>
      <w:r>
        <w:rPr>
          <w:b/>
          <w:bCs/>
          <w:color w:val="auto"/>
          <w:szCs w:val="21"/>
          <w:highlight w:val="none"/>
        </w:rPr>
        <w:t>合同履行期限：</w:t>
      </w:r>
      <w:r>
        <w:rPr>
          <w:rFonts w:hint="eastAsia" w:ascii="宋体" w:hAnsi="宋体" w:cs="宋体"/>
          <w:color w:val="auto"/>
          <w:highlight w:val="none"/>
        </w:rPr>
        <w:t>两年（具体以合同起止时间为准）</w:t>
      </w:r>
    </w:p>
    <w:p w14:paraId="362F9107">
      <w:pPr>
        <w:numPr>
          <w:ilvl w:val="0"/>
          <w:numId w:val="2"/>
        </w:numPr>
        <w:spacing w:line="440" w:lineRule="exact"/>
        <w:ind w:left="425" w:hanging="5"/>
        <w:rPr>
          <w:b/>
          <w:bCs/>
          <w:color w:val="auto"/>
          <w:szCs w:val="21"/>
          <w:highlight w:val="none"/>
        </w:rPr>
      </w:pPr>
      <w:r>
        <w:rPr>
          <w:b/>
          <w:bCs/>
          <w:color w:val="auto"/>
          <w:szCs w:val="21"/>
          <w:highlight w:val="none"/>
        </w:rPr>
        <w:t>本项目不接受联合体投标。</w:t>
      </w:r>
    </w:p>
    <w:p w14:paraId="59DB8B37">
      <w:pPr>
        <w:numPr>
          <w:ilvl w:val="0"/>
          <w:numId w:val="2"/>
        </w:numPr>
        <w:spacing w:line="440" w:lineRule="exact"/>
        <w:ind w:left="425" w:hanging="5"/>
        <w:rPr>
          <w:b/>
          <w:bCs/>
          <w:color w:val="auto"/>
          <w:szCs w:val="21"/>
          <w:highlight w:val="none"/>
        </w:rPr>
      </w:pPr>
      <w:r>
        <w:rPr>
          <w:b/>
          <w:bCs/>
          <w:color w:val="auto"/>
          <w:szCs w:val="21"/>
          <w:highlight w:val="none"/>
        </w:rPr>
        <w:t>本项目不允许转包、分包。</w:t>
      </w:r>
    </w:p>
    <w:p w14:paraId="5678A1D5">
      <w:pPr>
        <w:spacing w:line="440" w:lineRule="exact"/>
        <w:ind w:firstLine="422"/>
        <w:rPr>
          <w:b/>
          <w:bCs/>
          <w:color w:val="auto"/>
          <w:szCs w:val="21"/>
          <w:highlight w:val="none"/>
        </w:rPr>
      </w:pPr>
      <w:r>
        <w:rPr>
          <w:b/>
          <w:bCs/>
          <w:color w:val="auto"/>
          <w:szCs w:val="21"/>
          <w:highlight w:val="none"/>
        </w:rPr>
        <w:t>二、申请人的资格要求：</w:t>
      </w:r>
    </w:p>
    <w:p w14:paraId="6CE554F3">
      <w:pPr>
        <w:widowControl/>
        <w:shd w:val="clear" w:color="auto" w:fill="FFFFFF"/>
        <w:spacing w:line="440" w:lineRule="exact"/>
        <w:ind w:firstLine="424"/>
        <w:jc w:val="left"/>
        <w:rPr>
          <w:color w:val="auto"/>
          <w:szCs w:val="21"/>
          <w:highlight w:val="none"/>
        </w:rPr>
      </w:pPr>
      <w:r>
        <w:rPr>
          <w:color w:val="auto"/>
          <w:szCs w:val="21"/>
          <w:highlight w:val="none"/>
        </w:rPr>
        <w:t>1.满足《中华人民共和国政府采购法》第二十二条规定</w:t>
      </w:r>
      <w:r>
        <w:rPr>
          <w:bCs/>
          <w:color w:val="auto"/>
          <w:szCs w:val="21"/>
          <w:highlight w:val="none"/>
        </w:rPr>
        <w:t>，供应商应当具备下列条件</w:t>
      </w:r>
      <w:r>
        <w:rPr>
          <w:color w:val="auto"/>
          <w:szCs w:val="21"/>
          <w:highlight w:val="none"/>
        </w:rPr>
        <w:t>；</w:t>
      </w:r>
    </w:p>
    <w:p w14:paraId="34F8CFAF">
      <w:pPr>
        <w:widowControl/>
        <w:shd w:val="clear" w:color="auto" w:fill="FFFFFF"/>
        <w:spacing w:line="440" w:lineRule="exact"/>
        <w:ind w:firstLine="424"/>
        <w:jc w:val="left"/>
        <w:rPr>
          <w:color w:val="auto"/>
          <w:szCs w:val="21"/>
          <w:highlight w:val="none"/>
        </w:rPr>
      </w:pPr>
      <w:r>
        <w:rPr>
          <w:color w:val="auto"/>
          <w:szCs w:val="21"/>
          <w:highlight w:val="none"/>
        </w:rPr>
        <w:t>1.1.具有独立承担民事责任的能力；</w:t>
      </w:r>
    </w:p>
    <w:p w14:paraId="48444B82">
      <w:pPr>
        <w:widowControl/>
        <w:shd w:val="clear" w:color="auto" w:fill="FFFFFF"/>
        <w:spacing w:line="440" w:lineRule="exact"/>
        <w:ind w:firstLine="424"/>
        <w:jc w:val="left"/>
        <w:rPr>
          <w:color w:val="auto"/>
          <w:szCs w:val="21"/>
          <w:highlight w:val="none"/>
        </w:rPr>
      </w:pPr>
      <w:r>
        <w:rPr>
          <w:color w:val="auto"/>
          <w:szCs w:val="21"/>
          <w:highlight w:val="none"/>
        </w:rPr>
        <w:t>1.2.具有良好的商业信誉和健全的财务会计制度；</w:t>
      </w:r>
    </w:p>
    <w:p w14:paraId="7F119962">
      <w:pPr>
        <w:widowControl/>
        <w:shd w:val="clear" w:color="auto" w:fill="FFFFFF"/>
        <w:spacing w:line="440" w:lineRule="exact"/>
        <w:ind w:firstLine="424"/>
        <w:jc w:val="left"/>
        <w:rPr>
          <w:color w:val="auto"/>
          <w:szCs w:val="21"/>
          <w:highlight w:val="none"/>
        </w:rPr>
      </w:pPr>
      <w:r>
        <w:rPr>
          <w:color w:val="auto"/>
          <w:szCs w:val="21"/>
          <w:highlight w:val="none"/>
        </w:rPr>
        <w:t>1.3.具有履行合同所必需的设备和专业技术能力；</w:t>
      </w:r>
    </w:p>
    <w:p w14:paraId="613638AA">
      <w:pPr>
        <w:widowControl/>
        <w:shd w:val="clear" w:color="auto" w:fill="FFFFFF"/>
        <w:spacing w:line="440" w:lineRule="exact"/>
        <w:ind w:firstLine="424"/>
        <w:jc w:val="left"/>
        <w:rPr>
          <w:color w:val="auto"/>
          <w:szCs w:val="21"/>
          <w:highlight w:val="none"/>
        </w:rPr>
      </w:pPr>
      <w:r>
        <w:rPr>
          <w:color w:val="auto"/>
          <w:szCs w:val="21"/>
          <w:highlight w:val="none"/>
        </w:rPr>
        <w:t>1.4.有依法缴纳税收和社会保障资金的良好记录；</w:t>
      </w:r>
    </w:p>
    <w:p w14:paraId="7828B988">
      <w:pPr>
        <w:widowControl/>
        <w:shd w:val="clear" w:color="auto" w:fill="FFFFFF"/>
        <w:spacing w:line="440" w:lineRule="exact"/>
        <w:ind w:firstLine="424"/>
        <w:jc w:val="left"/>
        <w:rPr>
          <w:color w:val="auto"/>
          <w:szCs w:val="21"/>
          <w:highlight w:val="none"/>
        </w:rPr>
      </w:pPr>
      <w:r>
        <w:rPr>
          <w:color w:val="auto"/>
          <w:szCs w:val="21"/>
          <w:highlight w:val="none"/>
        </w:rPr>
        <w:t>1.5.参加政府采购活动前三年内，在经营活动中没有重大违法记录</w:t>
      </w:r>
      <w:r>
        <w:rPr>
          <w:rFonts w:hint="eastAsia"/>
          <w:color w:val="auto"/>
          <w:szCs w:val="21"/>
          <w:highlight w:val="none"/>
        </w:rPr>
        <w:t>。</w:t>
      </w:r>
    </w:p>
    <w:p w14:paraId="4D628633">
      <w:pPr>
        <w:spacing w:line="440" w:lineRule="exact"/>
        <w:ind w:firstLine="424"/>
        <w:rPr>
          <w:color w:val="auto"/>
          <w:szCs w:val="21"/>
          <w:highlight w:val="none"/>
        </w:rPr>
      </w:pPr>
      <w:r>
        <w:rPr>
          <w:rFonts w:hint="eastAsia"/>
          <w:color w:val="auto"/>
          <w:szCs w:val="21"/>
          <w:highlight w:val="none"/>
        </w:rPr>
        <w:t>2.落实政府釆购政策需满足的资格要求：</w:t>
      </w:r>
      <w:r>
        <w:rPr>
          <w:rFonts w:hint="eastAsia" w:ascii="宋体" w:hAnsi="宋体" w:cs="宋体"/>
          <w:b/>
          <w:bCs/>
          <w:color w:val="auto"/>
          <w:szCs w:val="21"/>
          <w:highlight w:val="none"/>
        </w:rPr>
        <w:t>根据《政府采购促进中小企业发展管理办法》的相关规定，本项目专门面向中小企业，承接服务的供应商应为中小微企业、监狱企业、残疾人福利性单位。</w:t>
      </w:r>
    </w:p>
    <w:p w14:paraId="57C32CAA">
      <w:pPr>
        <w:spacing w:line="440" w:lineRule="exact"/>
        <w:ind w:firstLine="424"/>
        <w:rPr>
          <w:color w:val="auto"/>
          <w:szCs w:val="21"/>
          <w:highlight w:val="none"/>
        </w:rPr>
      </w:pPr>
      <w:r>
        <w:rPr>
          <w:rFonts w:hint="eastAsia"/>
          <w:color w:val="auto"/>
          <w:szCs w:val="21"/>
          <w:highlight w:val="none"/>
        </w:rPr>
        <w:t>3.本项目的特定资格要求：无。</w:t>
      </w:r>
    </w:p>
    <w:p w14:paraId="7595634D">
      <w:pPr>
        <w:spacing w:line="440" w:lineRule="exact"/>
        <w:ind w:firstLine="424"/>
        <w:rPr>
          <w:color w:val="auto"/>
          <w:szCs w:val="21"/>
          <w:highlight w:val="none"/>
        </w:rPr>
      </w:pPr>
      <w:r>
        <w:rPr>
          <w:rFonts w:hint="eastAsia"/>
          <w:color w:val="auto"/>
          <w:szCs w:val="21"/>
          <w:highlight w:val="none"/>
        </w:rPr>
        <w:t>其他要求：</w:t>
      </w:r>
    </w:p>
    <w:p w14:paraId="7F0F703D">
      <w:pPr>
        <w:spacing w:line="440" w:lineRule="exact"/>
        <w:ind w:firstLine="424"/>
        <w:rPr>
          <w:color w:val="auto"/>
          <w:szCs w:val="21"/>
          <w:highlight w:val="none"/>
        </w:rPr>
      </w:pPr>
      <w:r>
        <w:rPr>
          <w:rFonts w:hint="eastAsia"/>
          <w:color w:val="auto"/>
          <w:szCs w:val="21"/>
          <w:highlight w:val="none"/>
        </w:rPr>
        <w:t>（1）</w:t>
      </w:r>
      <w:r>
        <w:rPr>
          <w:rFonts w:hint="eastAsia"/>
          <w:b/>
          <w:bCs/>
          <w:color w:val="auto"/>
          <w:szCs w:val="21"/>
          <w:highlight w:val="none"/>
        </w:rPr>
        <w:t>★</w:t>
      </w:r>
      <w:r>
        <w:rPr>
          <w:rFonts w:hint="eastAsia"/>
          <w:color w:val="auto"/>
          <w:szCs w:val="21"/>
          <w:highlight w:val="none"/>
        </w:rPr>
        <w:t>单位负责人为同一人或者存在直接控股、管理关系的不同供应商，不得参加同一合同项下的政府采购活动。</w:t>
      </w:r>
    </w:p>
    <w:p w14:paraId="0E51CA53">
      <w:pPr>
        <w:spacing w:line="440" w:lineRule="exact"/>
        <w:ind w:firstLine="424"/>
        <w:rPr>
          <w:color w:val="auto"/>
          <w:szCs w:val="21"/>
          <w:highlight w:val="none"/>
        </w:rPr>
      </w:pPr>
      <w:r>
        <w:rPr>
          <w:rFonts w:hint="eastAsia"/>
          <w:color w:val="auto"/>
          <w:szCs w:val="21"/>
          <w:highlight w:val="none"/>
        </w:rPr>
        <w:t>（2）</w:t>
      </w:r>
      <w:r>
        <w:rPr>
          <w:rFonts w:hint="eastAsia"/>
          <w:b/>
          <w:bCs/>
          <w:color w:val="auto"/>
          <w:szCs w:val="21"/>
          <w:highlight w:val="none"/>
        </w:rPr>
        <w:t>★</w:t>
      </w:r>
      <w:r>
        <w:rPr>
          <w:rFonts w:hint="eastAsia"/>
          <w:color w:val="auto"/>
          <w:szCs w:val="21"/>
          <w:highlight w:val="none"/>
        </w:rPr>
        <w:t>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p>
    <w:p w14:paraId="72CB96DC">
      <w:pPr>
        <w:spacing w:line="440" w:lineRule="exact"/>
        <w:ind w:firstLine="422"/>
        <w:rPr>
          <w:b/>
          <w:bCs/>
          <w:color w:val="auto"/>
          <w:szCs w:val="21"/>
          <w:highlight w:val="none"/>
        </w:rPr>
      </w:pPr>
      <w:r>
        <w:rPr>
          <w:b/>
          <w:bCs/>
          <w:color w:val="auto"/>
          <w:szCs w:val="21"/>
          <w:highlight w:val="none"/>
        </w:rPr>
        <w:t>三、获取采购文件</w:t>
      </w:r>
    </w:p>
    <w:p w14:paraId="0767656B">
      <w:pPr>
        <w:widowControl/>
        <w:spacing w:line="400" w:lineRule="exact"/>
        <w:ind w:firstLine="420"/>
        <w:jc w:val="left"/>
        <w:rPr>
          <w:color w:val="auto"/>
          <w:szCs w:val="21"/>
          <w:highlight w:val="none"/>
          <w:u w:val="single"/>
        </w:rPr>
      </w:pPr>
      <w:r>
        <w:rPr>
          <w:rFonts w:hint="eastAsia"/>
          <w:color w:val="auto"/>
          <w:szCs w:val="21"/>
          <w:highlight w:val="none"/>
        </w:rPr>
        <w:t>1.本项目实行供应商网上报名，网上报名截止时间：</w:t>
      </w:r>
      <w:r>
        <w:rPr>
          <w:bCs/>
          <w:color w:val="auto"/>
          <w:szCs w:val="21"/>
          <w:highlight w:val="none"/>
          <w:u w:val="single"/>
        </w:rPr>
        <w:t>202</w:t>
      </w:r>
      <w:r>
        <w:rPr>
          <w:rFonts w:hint="eastAsia"/>
          <w:bCs/>
          <w:color w:val="auto"/>
          <w:szCs w:val="21"/>
          <w:highlight w:val="none"/>
          <w:u w:val="single"/>
        </w:rPr>
        <w:t>5</w:t>
      </w:r>
      <w:r>
        <w:rPr>
          <w:rFonts w:hint="eastAsia"/>
          <w:bCs/>
          <w:color w:val="auto"/>
          <w:szCs w:val="21"/>
          <w:highlight w:val="none"/>
        </w:rPr>
        <w:t>年11月12 日</w:t>
      </w:r>
      <w:r>
        <w:rPr>
          <w:color w:val="auto"/>
          <w:szCs w:val="21"/>
          <w:highlight w:val="none"/>
        </w:rPr>
        <w:t>17</w:t>
      </w:r>
      <w:r>
        <w:rPr>
          <w:rFonts w:hint="eastAsia"/>
          <w:color w:val="auto"/>
          <w:szCs w:val="21"/>
          <w:highlight w:val="none"/>
        </w:rPr>
        <w:t>:30（北京时间）</w:t>
      </w:r>
    </w:p>
    <w:p w14:paraId="24AA7823">
      <w:pPr>
        <w:widowControl/>
        <w:spacing w:line="400" w:lineRule="exact"/>
        <w:ind w:firstLine="422"/>
        <w:jc w:val="left"/>
        <w:rPr>
          <w:b/>
          <w:bCs/>
          <w:color w:val="auto"/>
          <w:szCs w:val="21"/>
          <w:highlight w:val="none"/>
        </w:rPr>
      </w:pPr>
      <w:r>
        <w:rPr>
          <w:rFonts w:hint="eastAsia"/>
          <w:b/>
          <w:bCs/>
          <w:color w:val="auto"/>
          <w:szCs w:val="21"/>
          <w:highlight w:val="none"/>
        </w:rPr>
        <w:t>2.报名流程：</w:t>
      </w:r>
    </w:p>
    <w:p w14:paraId="3ACFAE62">
      <w:pPr>
        <w:widowControl/>
        <w:spacing w:line="400" w:lineRule="exact"/>
        <w:ind w:firstLine="422"/>
        <w:jc w:val="left"/>
        <w:rPr>
          <w:b/>
          <w:bCs/>
          <w:color w:val="auto"/>
          <w:szCs w:val="21"/>
          <w:highlight w:val="none"/>
        </w:rPr>
      </w:pPr>
      <w:r>
        <w:rPr>
          <w:rFonts w:hint="eastAsia"/>
          <w:b/>
          <w:bCs/>
          <w:color w:val="auto"/>
          <w:szCs w:val="21"/>
          <w:highlight w:val="none"/>
        </w:rPr>
        <w:t>（1）CA证书办理 </w:t>
      </w:r>
    </w:p>
    <w:p w14:paraId="4C61AD02">
      <w:pPr>
        <w:widowControl/>
        <w:spacing w:line="400" w:lineRule="exact"/>
        <w:ind w:firstLine="420"/>
        <w:jc w:val="left"/>
        <w:rPr>
          <w:color w:val="auto"/>
          <w:szCs w:val="21"/>
          <w:highlight w:val="none"/>
        </w:rPr>
      </w:pPr>
      <w:r>
        <w:rPr>
          <w:rFonts w:hint="eastAsia"/>
          <w:color w:val="auto"/>
          <w:szCs w:val="21"/>
          <w:highlight w:val="none"/>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 </w:t>
      </w:r>
    </w:p>
    <w:p w14:paraId="5A370389">
      <w:pPr>
        <w:widowControl/>
        <w:spacing w:line="400" w:lineRule="exact"/>
        <w:ind w:firstLine="422"/>
        <w:jc w:val="left"/>
        <w:rPr>
          <w:b/>
          <w:bCs/>
          <w:color w:val="auto"/>
          <w:szCs w:val="21"/>
          <w:highlight w:val="none"/>
        </w:rPr>
      </w:pPr>
      <w:r>
        <w:rPr>
          <w:rFonts w:hint="eastAsia"/>
          <w:b/>
          <w:bCs/>
          <w:color w:val="auto"/>
          <w:szCs w:val="21"/>
          <w:highlight w:val="none"/>
        </w:rPr>
        <w:t>（2）参与采购活动 </w:t>
      </w:r>
    </w:p>
    <w:p w14:paraId="0B8F887F">
      <w:pPr>
        <w:widowControl/>
        <w:spacing w:line="400" w:lineRule="exact"/>
        <w:ind w:firstLine="420"/>
        <w:jc w:val="left"/>
        <w:rPr>
          <w:color w:val="auto"/>
          <w:szCs w:val="21"/>
          <w:highlight w:val="none"/>
        </w:rPr>
      </w:pPr>
      <w:r>
        <w:rPr>
          <w:rFonts w:hint="eastAsia"/>
          <w:color w:val="auto"/>
          <w:szCs w:val="21"/>
          <w:highlight w:val="none"/>
        </w:rPr>
        <w:t>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p>
    <w:p w14:paraId="1C742EEE">
      <w:pPr>
        <w:widowControl/>
        <w:spacing w:line="400" w:lineRule="exact"/>
        <w:ind w:firstLine="422"/>
        <w:jc w:val="left"/>
        <w:rPr>
          <w:b/>
          <w:bCs/>
          <w:color w:val="auto"/>
          <w:szCs w:val="21"/>
          <w:highlight w:val="none"/>
        </w:rPr>
      </w:pPr>
      <w:r>
        <w:rPr>
          <w:rFonts w:hint="eastAsia"/>
          <w:b/>
          <w:bCs/>
          <w:color w:val="auto"/>
          <w:szCs w:val="21"/>
          <w:highlight w:val="none"/>
        </w:rPr>
        <w:t>（3）电子投标准备 </w:t>
      </w:r>
    </w:p>
    <w:p w14:paraId="30391C2E">
      <w:pPr>
        <w:widowControl/>
        <w:spacing w:line="400" w:lineRule="exact"/>
        <w:ind w:firstLine="420"/>
        <w:jc w:val="left"/>
        <w:rPr>
          <w:color w:val="auto"/>
          <w:szCs w:val="21"/>
          <w:highlight w:val="none"/>
        </w:rPr>
      </w:pPr>
      <w:r>
        <w:rPr>
          <w:rFonts w:hint="eastAsia"/>
          <w:color w:val="auto"/>
          <w:szCs w:val="21"/>
          <w:highlight w:val="none"/>
        </w:rPr>
        <w:t>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 </w:t>
      </w:r>
    </w:p>
    <w:p w14:paraId="19FAE1A3">
      <w:pPr>
        <w:widowControl/>
        <w:spacing w:line="400" w:lineRule="exact"/>
        <w:ind w:firstLine="422"/>
        <w:jc w:val="left"/>
        <w:rPr>
          <w:color w:val="auto"/>
          <w:szCs w:val="21"/>
          <w:highlight w:val="none"/>
        </w:rPr>
      </w:pPr>
      <w:r>
        <w:rPr>
          <w:rFonts w:hint="eastAsia"/>
          <w:b/>
          <w:bCs/>
          <w:color w:val="auto"/>
          <w:szCs w:val="21"/>
          <w:highlight w:val="none"/>
        </w:rPr>
        <w:t>（4）补充通知</w:t>
      </w:r>
      <w:r>
        <w:rPr>
          <w:rFonts w:hint="eastAsia"/>
          <w:color w:val="auto"/>
          <w:szCs w:val="21"/>
          <w:highlight w:val="none"/>
        </w:rPr>
        <w:t>（如有）。成功获取文件的供应商通过“苏州市政府采购网”或“苏采云”系统自行查看所报项目的补充通知。</w:t>
      </w:r>
    </w:p>
    <w:p w14:paraId="48AEE449">
      <w:pPr>
        <w:widowControl/>
        <w:spacing w:line="400" w:lineRule="exact"/>
        <w:ind w:firstLine="420"/>
        <w:jc w:val="left"/>
        <w:rPr>
          <w:color w:val="auto"/>
          <w:szCs w:val="21"/>
          <w:highlight w:val="none"/>
        </w:rPr>
      </w:pPr>
      <w:r>
        <w:rPr>
          <w:rFonts w:hint="eastAsia"/>
          <w:color w:val="auto"/>
          <w:szCs w:val="21"/>
          <w:highlight w:val="none"/>
        </w:rPr>
        <w:t>3.在网上报名和招标过程中如有疑问，请按以下方式联系：</w:t>
      </w:r>
    </w:p>
    <w:p w14:paraId="78789597">
      <w:pPr>
        <w:widowControl/>
        <w:spacing w:line="400" w:lineRule="exact"/>
        <w:ind w:firstLine="420"/>
        <w:jc w:val="left"/>
        <w:rPr>
          <w:color w:val="auto"/>
          <w:szCs w:val="21"/>
          <w:highlight w:val="none"/>
        </w:rPr>
      </w:pPr>
      <w:r>
        <w:rPr>
          <w:rFonts w:hint="eastAsia"/>
          <w:color w:val="auto"/>
          <w:szCs w:val="21"/>
          <w:highlight w:val="none"/>
        </w:rPr>
        <w:t>注册咨询：18261002950； </w:t>
      </w:r>
    </w:p>
    <w:p w14:paraId="450FB03A">
      <w:pPr>
        <w:widowControl/>
        <w:spacing w:line="400" w:lineRule="exact"/>
        <w:ind w:firstLine="420"/>
        <w:jc w:val="left"/>
        <w:rPr>
          <w:color w:val="auto"/>
          <w:szCs w:val="21"/>
          <w:highlight w:val="none"/>
        </w:rPr>
      </w:pPr>
      <w:r>
        <w:rPr>
          <w:rFonts w:hint="eastAsia"/>
          <w:color w:val="auto"/>
          <w:szCs w:val="21"/>
          <w:highlight w:val="none"/>
        </w:rPr>
        <w:t>CA技术咨询电话：400-608-6099； </w:t>
      </w:r>
    </w:p>
    <w:p w14:paraId="05E869FB">
      <w:pPr>
        <w:widowControl/>
        <w:spacing w:line="400" w:lineRule="exact"/>
        <w:ind w:firstLine="420"/>
        <w:jc w:val="left"/>
        <w:rPr>
          <w:color w:val="auto"/>
          <w:szCs w:val="21"/>
          <w:highlight w:val="none"/>
        </w:rPr>
      </w:pPr>
      <w:r>
        <w:rPr>
          <w:rFonts w:hint="eastAsia"/>
          <w:color w:val="auto"/>
          <w:szCs w:val="21"/>
          <w:highlight w:val="none"/>
        </w:rPr>
        <w:t>签章使用问题：025-83633811、025-83633812、15380932027、15371015030； </w:t>
      </w:r>
    </w:p>
    <w:p w14:paraId="40366B8B">
      <w:pPr>
        <w:widowControl/>
        <w:spacing w:line="400" w:lineRule="exact"/>
        <w:ind w:firstLine="420"/>
        <w:jc w:val="left"/>
        <w:rPr>
          <w:color w:val="auto"/>
          <w:szCs w:val="21"/>
          <w:highlight w:val="none"/>
        </w:rPr>
      </w:pPr>
      <w:r>
        <w:rPr>
          <w:rFonts w:hint="eastAsia"/>
          <w:color w:val="auto"/>
          <w:szCs w:val="21"/>
          <w:highlight w:val="none"/>
        </w:rPr>
        <w:t>系统使用指导与咨询：联系电话：18261002950；QQ：3048755361、1315179389、895706745。</w:t>
      </w:r>
    </w:p>
    <w:p w14:paraId="02C89788">
      <w:pPr>
        <w:pStyle w:val="12"/>
        <w:spacing w:line="360" w:lineRule="auto"/>
        <w:ind w:firstLine="42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四、响应文件提交</w:t>
      </w:r>
    </w:p>
    <w:p w14:paraId="6469DC53">
      <w:pPr>
        <w:pStyle w:val="12"/>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1.递交响应文件截止时间：</w:t>
      </w:r>
      <w:r>
        <w:rPr>
          <w:rFonts w:hint="eastAsia" w:eastAsia="宋体" w:asciiTheme="minorEastAsia" w:hAnsiTheme="minorEastAsia" w:cstheme="minorEastAsia"/>
          <w:bCs/>
          <w:color w:val="auto"/>
          <w:sz w:val="21"/>
          <w:szCs w:val="21"/>
          <w:highlight w:val="none"/>
          <w:u w:val="single"/>
        </w:rPr>
        <w:t>2025年11月26 日</w:t>
      </w:r>
      <w:r>
        <w:rPr>
          <w:rFonts w:hint="eastAsia" w:asciiTheme="minorEastAsia" w:hAnsiTheme="minorEastAsia" w:eastAsiaTheme="minorEastAsia" w:cstheme="minorEastAsia"/>
          <w:bCs/>
          <w:color w:val="auto"/>
          <w:sz w:val="21"/>
          <w:szCs w:val="21"/>
          <w:highlight w:val="none"/>
          <w:u w:val="single"/>
        </w:rPr>
        <w:t>13:30（北京时间）</w:t>
      </w:r>
      <w:r>
        <w:rPr>
          <w:rFonts w:hint="eastAsia" w:asciiTheme="minorEastAsia" w:hAnsiTheme="minorEastAsia" w:eastAsiaTheme="minorEastAsia" w:cstheme="minorEastAsia"/>
          <w:bCs/>
          <w:color w:val="auto"/>
          <w:sz w:val="21"/>
          <w:szCs w:val="21"/>
          <w:highlight w:val="none"/>
        </w:rPr>
        <w:t>；</w:t>
      </w:r>
    </w:p>
    <w:p w14:paraId="4C364488">
      <w:pPr>
        <w:pStyle w:val="12"/>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2.地点：</w:t>
      </w:r>
      <w:r>
        <w:rPr>
          <w:rFonts w:hint="eastAsia" w:ascii="宋体" w:hAnsi="宋体" w:eastAsia="宋体" w:cs="宋体"/>
          <w:b/>
          <w:bCs/>
          <w:color w:val="auto"/>
          <w:sz w:val="21"/>
          <w:szCs w:val="21"/>
          <w:highlight w:val="none"/>
        </w:rPr>
        <w:t>“苏采云”系统（网址：http://jszfcg.jsczt.cn/）</w:t>
      </w:r>
      <w:r>
        <w:rPr>
          <w:rFonts w:hint="eastAsia" w:ascii="宋体" w:hAnsi="宋体" w:eastAsia="宋体" w:cs="宋体"/>
          <w:bCs/>
          <w:color w:val="auto"/>
          <w:sz w:val="21"/>
          <w:szCs w:val="21"/>
          <w:highlight w:val="none"/>
        </w:rPr>
        <w:t>。响应文件网上递交，不需要现场参加采购活动，无需提供纸质响应文件。</w:t>
      </w:r>
    </w:p>
    <w:p w14:paraId="58EFE0DC">
      <w:pPr>
        <w:pStyle w:val="12"/>
        <w:spacing w:line="360" w:lineRule="auto"/>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color w:val="auto"/>
          <w:sz w:val="21"/>
          <w:szCs w:val="21"/>
          <w:highlight w:val="none"/>
        </w:rPr>
        <w:t>供应商应充分考虑到网络环境、网络带宽等风险因素，如因供应商自身原因造成的电子响应文件上传不成功由供应商自行承担全部责任。</w:t>
      </w:r>
    </w:p>
    <w:p w14:paraId="05922E65">
      <w:pPr>
        <w:pStyle w:val="12"/>
        <w:spacing w:line="360" w:lineRule="auto"/>
        <w:ind w:firstLine="42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五、开启</w:t>
      </w:r>
    </w:p>
    <w:p w14:paraId="540A7D55">
      <w:pPr>
        <w:pStyle w:val="12"/>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1.时间：</w:t>
      </w:r>
      <w:r>
        <w:rPr>
          <w:rFonts w:hint="eastAsia" w:ascii="宋体" w:hAnsi="宋体" w:eastAsia="宋体" w:cs="宋体"/>
          <w:bCs/>
          <w:color w:val="auto"/>
          <w:sz w:val="21"/>
          <w:szCs w:val="21"/>
          <w:highlight w:val="none"/>
          <w:u w:val="single"/>
        </w:rPr>
        <w:t>2025年11月26 日13:30（北京时间）</w:t>
      </w:r>
      <w:r>
        <w:rPr>
          <w:rFonts w:hint="eastAsia" w:ascii="宋体" w:hAnsi="宋体" w:eastAsia="宋体" w:cs="宋体"/>
          <w:bCs/>
          <w:color w:val="auto"/>
          <w:sz w:val="21"/>
          <w:szCs w:val="21"/>
          <w:highlight w:val="none"/>
        </w:rPr>
        <w:t>；</w:t>
      </w:r>
    </w:p>
    <w:p w14:paraId="3176F8E7">
      <w:pPr>
        <w:pStyle w:val="12"/>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2.地点：“苏采云”系统（网址：http://jszfcg.jsczt.cn/）</w:t>
      </w:r>
    </w:p>
    <w:p w14:paraId="3C377349">
      <w:pPr>
        <w:pStyle w:val="12"/>
        <w:spacing w:line="360" w:lineRule="auto"/>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auto"/>
          <w:sz w:val="21"/>
          <w:szCs w:val="21"/>
          <w:highlight w:val="none"/>
        </w:rPr>
        <w:t>本项目为不见面开标项目，</w:t>
      </w:r>
      <w:r>
        <w:rPr>
          <w:rFonts w:hint="eastAsia" w:ascii="宋体" w:hAnsi="宋体" w:eastAsia="宋体" w:cs="宋体"/>
          <w:b/>
          <w:color w:val="auto"/>
          <w:sz w:val="21"/>
          <w:szCs w:val="21"/>
          <w:highlight w:val="none"/>
        </w:rPr>
        <w:t>开</w:t>
      </w:r>
      <w:r>
        <w:rPr>
          <w:rFonts w:hint="eastAsia" w:ascii="宋体" w:hAnsi="宋体" w:eastAsia="宋体" w:cs="宋体"/>
          <w:b/>
          <w:color w:val="auto"/>
          <w:szCs w:val="21"/>
          <w:highlight w:val="none"/>
        </w:rPr>
        <w:t>启</w:t>
      </w:r>
      <w:r>
        <w:rPr>
          <w:rFonts w:hint="eastAsia" w:ascii="宋体" w:hAnsi="宋体" w:eastAsia="宋体" w:cs="宋体"/>
          <w:b/>
          <w:color w:val="auto"/>
          <w:sz w:val="21"/>
          <w:szCs w:val="21"/>
          <w:highlight w:val="none"/>
        </w:rPr>
        <w:t>阶段供应商在【供应商解密】环节必须使用 CA证书解密电子</w:t>
      </w:r>
      <w:r>
        <w:rPr>
          <w:rFonts w:hint="eastAsia" w:ascii="宋体" w:hAnsi="宋体" w:eastAsia="宋体" w:cs="宋体"/>
          <w:b/>
          <w:color w:val="auto"/>
          <w:szCs w:val="21"/>
          <w:highlight w:val="none"/>
        </w:rPr>
        <w:t>响应</w:t>
      </w:r>
      <w:r>
        <w:rPr>
          <w:rFonts w:hint="eastAsia" w:ascii="宋体" w:hAnsi="宋体" w:eastAsia="宋体" w:cs="宋体"/>
          <w:b/>
          <w:color w:val="auto"/>
          <w:sz w:val="21"/>
          <w:szCs w:val="21"/>
          <w:highlight w:val="none"/>
        </w:rPr>
        <w:t>文件，如在系统规定的解密时间内未能完成解密的视为放弃参与本项目。</w:t>
      </w:r>
    </w:p>
    <w:p w14:paraId="364E884B">
      <w:pPr>
        <w:pStyle w:val="12"/>
        <w:spacing w:line="360" w:lineRule="auto"/>
        <w:ind w:firstLine="42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请供应商确保电脑、系统及其他设备（视频输入输出设备等）无误，且开启直至项目结束始终保持系统在线状态。</w:t>
      </w:r>
    </w:p>
    <w:p w14:paraId="7DCF77BD">
      <w:pPr>
        <w:tabs>
          <w:tab w:val="left" w:pos="540"/>
          <w:tab w:val="left" w:pos="993"/>
        </w:tabs>
        <w:spacing w:line="440" w:lineRule="exact"/>
        <w:ind w:left="426"/>
        <w:jc w:val="left"/>
        <w:rPr>
          <w:rFonts w:hint="eastAsia" w:ascii="宋体" w:hAnsi="宋体" w:cs="宋体"/>
          <w:b/>
          <w:color w:val="auto"/>
          <w:szCs w:val="21"/>
          <w:highlight w:val="none"/>
        </w:rPr>
      </w:pPr>
      <w:r>
        <w:rPr>
          <w:rFonts w:hint="eastAsia" w:ascii="宋体" w:hAnsi="宋体" w:cs="宋体"/>
          <w:b/>
          <w:bCs/>
          <w:color w:val="auto"/>
          <w:szCs w:val="21"/>
          <w:highlight w:val="none"/>
        </w:rPr>
        <w:t>六、</w:t>
      </w:r>
      <w:r>
        <w:rPr>
          <w:rFonts w:hint="eastAsia" w:ascii="宋体" w:hAnsi="宋体" w:cs="宋体"/>
          <w:b/>
          <w:color w:val="auto"/>
          <w:szCs w:val="21"/>
          <w:highlight w:val="none"/>
          <w:lang w:val="zh-CN"/>
        </w:rPr>
        <w:t>成交服务费</w:t>
      </w:r>
    </w:p>
    <w:p w14:paraId="1B318D57">
      <w:pPr>
        <w:spacing w:line="440" w:lineRule="exact"/>
        <w:ind w:firstLine="420"/>
        <w:rPr>
          <w:color w:val="auto"/>
          <w:szCs w:val="21"/>
          <w:highlight w:val="none"/>
          <w:lang w:val="zh-CN"/>
        </w:rPr>
      </w:pPr>
      <w:r>
        <w:rPr>
          <w:rFonts w:hint="eastAsia" w:ascii="宋体" w:hAnsi="宋体" w:cs="宋体"/>
          <w:color w:val="auto"/>
          <w:szCs w:val="21"/>
          <w:highlight w:val="none"/>
        </w:rPr>
        <w:t>1.</w:t>
      </w:r>
      <w:r>
        <w:rPr>
          <w:rFonts w:hint="eastAsia" w:ascii="宋体" w:hAnsi="宋体" w:cs="宋体"/>
          <w:color w:val="auto"/>
          <w:szCs w:val="21"/>
          <w:highlight w:val="none"/>
          <w:lang w:val="zh-CN"/>
        </w:rPr>
        <w:t>收费标准：按差额定率累进法计算收取，</w:t>
      </w:r>
      <w:r>
        <w:rPr>
          <w:rFonts w:hint="eastAsia" w:ascii="宋体" w:hAnsi="宋体" w:cs="宋体"/>
          <w:color w:val="auto"/>
          <w:szCs w:val="21"/>
          <w:highlight w:val="none"/>
        </w:rPr>
        <w:t>成交</w:t>
      </w:r>
      <w:r>
        <w:rPr>
          <w:rFonts w:hint="eastAsia" w:ascii="宋体" w:hAnsi="宋体" w:cs="宋体"/>
          <w:color w:val="auto"/>
          <w:szCs w:val="21"/>
          <w:highlight w:val="none"/>
          <w:lang w:val="zh-CN"/>
        </w:rPr>
        <w:t>单位在领取</w:t>
      </w:r>
      <w:r>
        <w:rPr>
          <w:rFonts w:hint="eastAsia" w:ascii="宋体" w:hAnsi="宋体" w:cs="宋体"/>
          <w:color w:val="auto"/>
          <w:szCs w:val="21"/>
          <w:highlight w:val="none"/>
        </w:rPr>
        <w:t>成交</w:t>
      </w:r>
      <w:r>
        <w:rPr>
          <w:rFonts w:hint="eastAsia" w:ascii="宋体" w:hAnsi="宋体" w:cs="宋体"/>
          <w:color w:val="auto"/>
          <w:szCs w:val="21"/>
          <w:highlight w:val="none"/>
          <w:lang w:val="zh-CN"/>
        </w:rPr>
        <w:t>通知书时向采购代理机构一次性付清。预算金额100万以下费率为预算金额的1.5%；预算金额100</w:t>
      </w:r>
      <w:r>
        <w:rPr>
          <w:color w:val="auto"/>
          <w:szCs w:val="21"/>
          <w:highlight w:val="none"/>
          <w:lang w:val="zh-CN"/>
        </w:rPr>
        <w:t>万（含）-500万费率为预算金额的1.1%；预算金额500万（含）-1000万费率为预算金额的0.8%。</w:t>
      </w:r>
    </w:p>
    <w:p w14:paraId="570809DC">
      <w:pPr>
        <w:spacing w:line="440" w:lineRule="exact"/>
        <w:ind w:firstLine="422"/>
        <w:rPr>
          <w:b/>
          <w:bCs/>
          <w:color w:val="auto"/>
          <w:szCs w:val="21"/>
          <w:highlight w:val="none"/>
        </w:rPr>
      </w:pPr>
      <w:r>
        <w:rPr>
          <w:b/>
          <w:bCs/>
          <w:color w:val="auto"/>
          <w:szCs w:val="21"/>
          <w:highlight w:val="none"/>
        </w:rPr>
        <w:t>七、公告期限</w:t>
      </w:r>
    </w:p>
    <w:p w14:paraId="6A6F3328">
      <w:pPr>
        <w:spacing w:line="440" w:lineRule="exact"/>
        <w:ind w:firstLine="420"/>
        <w:rPr>
          <w:color w:val="auto"/>
          <w:szCs w:val="21"/>
          <w:highlight w:val="none"/>
        </w:rPr>
      </w:pPr>
      <w:r>
        <w:rPr>
          <w:color w:val="auto"/>
          <w:szCs w:val="21"/>
          <w:highlight w:val="none"/>
        </w:rPr>
        <w:t>自本公告发布之日起</w:t>
      </w:r>
      <w:r>
        <w:rPr>
          <w:rFonts w:hint="eastAsia"/>
          <w:color w:val="auto"/>
          <w:szCs w:val="21"/>
          <w:highlight w:val="none"/>
        </w:rPr>
        <w:t>3</w:t>
      </w:r>
      <w:r>
        <w:rPr>
          <w:color w:val="auto"/>
          <w:szCs w:val="21"/>
          <w:highlight w:val="none"/>
        </w:rPr>
        <w:t>个工作日。</w:t>
      </w:r>
    </w:p>
    <w:p w14:paraId="470A777F">
      <w:pPr>
        <w:pStyle w:val="202"/>
        <w:spacing w:line="440" w:lineRule="exact"/>
        <w:ind w:firstLine="422"/>
        <w:rPr>
          <w:rFonts w:hint="eastAsia" w:ascii="宋体" w:hAnsi="宋体" w:cs="宋体"/>
          <w:b/>
          <w:bCs/>
          <w:color w:val="auto"/>
          <w:sz w:val="21"/>
          <w:szCs w:val="21"/>
          <w:highlight w:val="none"/>
          <w:lang w:val="en-US"/>
        </w:rPr>
      </w:pPr>
      <w:bookmarkStart w:id="6" w:name="_Hlk60646248"/>
      <w:r>
        <w:rPr>
          <w:rFonts w:hint="eastAsia" w:ascii="宋体" w:hAnsi="宋体" w:cs="宋体"/>
          <w:b/>
          <w:bCs/>
          <w:color w:val="auto"/>
          <w:sz w:val="21"/>
          <w:szCs w:val="21"/>
          <w:highlight w:val="none"/>
          <w:lang w:val="en-US"/>
        </w:rPr>
        <w:t>八、其他补充事宜</w:t>
      </w:r>
      <w:bookmarkEnd w:id="6"/>
    </w:p>
    <w:p w14:paraId="7797278A">
      <w:pPr>
        <w:spacing w:line="400" w:lineRule="exact"/>
        <w:ind w:firstLine="420"/>
        <w:rPr>
          <w:rFonts w:hint="eastAsia" w:ascii="宋体" w:hAnsi="宋体" w:cs="宋体"/>
          <w:bCs/>
          <w:color w:val="auto"/>
          <w:szCs w:val="21"/>
          <w:highlight w:val="none"/>
        </w:rPr>
      </w:pPr>
      <w:bookmarkStart w:id="7" w:name="_Toc60314542"/>
      <w:bookmarkStart w:id="8" w:name="_Hlk60646981"/>
      <w:r>
        <w:rPr>
          <w:rFonts w:hint="eastAsia" w:ascii="宋体" w:hAnsi="宋体" w:cs="宋体"/>
          <w:bCs/>
          <w:color w:val="auto"/>
          <w:szCs w:val="21"/>
          <w:highlight w:val="none"/>
        </w:rPr>
        <w:t>1.本项目获取采购文件截止日期之后仍可以下载采购文件，但截止日期之后下载的采购文件，视为非有效方式且不作为供应商权益受到损害的证明材料和依据。</w:t>
      </w:r>
    </w:p>
    <w:p w14:paraId="7CD4C241">
      <w:pPr>
        <w:spacing w:line="40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rPr>
        <w:t>2.本采购信息公告媒体苏州市政府采购网、江苏政府采购网、</w:t>
      </w:r>
      <w:r>
        <w:rPr>
          <w:rFonts w:hint="eastAsia" w:ascii="宋体" w:hAnsi="宋体" w:cs="宋体"/>
          <w:color w:val="auto"/>
          <w:szCs w:val="21"/>
          <w:highlight w:val="none"/>
        </w:rPr>
        <w:t>中国政府采购网</w:t>
      </w:r>
      <w:r>
        <w:rPr>
          <w:rFonts w:hint="eastAsia" w:ascii="宋体" w:hAnsi="宋体" w:cs="宋体"/>
          <w:bCs/>
          <w:color w:val="auto"/>
          <w:szCs w:val="21"/>
          <w:highlight w:val="none"/>
        </w:rPr>
        <w:t>。</w:t>
      </w:r>
    </w:p>
    <w:p w14:paraId="092D31D3">
      <w:pPr>
        <w:spacing w:line="40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rPr>
        <w:t>3.本项目由</w:t>
      </w:r>
      <w:r>
        <w:rPr>
          <w:rFonts w:hint="eastAsia" w:ascii="宋体" w:hAnsi="宋体" w:cs="宋体"/>
          <w:bCs/>
          <w:color w:val="auto"/>
          <w:szCs w:val="21"/>
          <w:highlight w:val="none"/>
          <w:u w:val="single"/>
        </w:rPr>
        <w:t xml:space="preserve"> 苏州鼎力招投标咨询服务有限公司</w:t>
      </w:r>
      <w:r>
        <w:rPr>
          <w:rFonts w:hint="eastAsia" w:ascii="宋体" w:hAnsi="宋体" w:cs="宋体"/>
          <w:bCs/>
          <w:color w:val="auto"/>
          <w:szCs w:val="21"/>
          <w:highlight w:val="none"/>
        </w:rPr>
        <w:t>代理。</w:t>
      </w:r>
    </w:p>
    <w:p w14:paraId="25DD2905">
      <w:pPr>
        <w:spacing w:line="44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rPr>
        <w:t>4.质疑联系方式：</w:t>
      </w:r>
    </w:p>
    <w:p w14:paraId="307B7597">
      <w:pPr>
        <w:spacing w:line="440" w:lineRule="exact"/>
        <w:ind w:left="372" w:firstLine="424"/>
        <w:rPr>
          <w:rFonts w:hint="eastAsia" w:ascii="宋体" w:hAnsi="宋体" w:cs="宋体"/>
          <w:color w:val="auto"/>
          <w:szCs w:val="21"/>
          <w:highlight w:val="none"/>
        </w:rPr>
      </w:pPr>
      <w:r>
        <w:rPr>
          <w:rFonts w:hint="eastAsia" w:ascii="宋体" w:hAnsi="宋体" w:cs="宋体"/>
          <w:color w:val="auto"/>
          <w:szCs w:val="21"/>
          <w:highlight w:val="none"/>
        </w:rPr>
        <w:t>质疑按《中华人民共和国财政部令第94号--政府采购质疑和投诉办法》中相关规定提出，供应商应在法定质疑期内一次性提出针对同一采购程序环节的质疑，质疑函（必须附</w:t>
      </w:r>
      <w:r>
        <w:rPr>
          <w:rFonts w:hint="eastAsia"/>
          <w:color w:val="auto"/>
          <w:szCs w:val="21"/>
          <w:highlight w:val="none"/>
        </w:rPr>
        <w:t>投标供应商确认函</w:t>
      </w:r>
      <w:r>
        <w:rPr>
          <w:rFonts w:hint="eastAsia" w:ascii="宋体" w:hAnsi="宋体" w:cs="宋体"/>
          <w:color w:val="auto"/>
          <w:szCs w:val="21"/>
          <w:highlight w:val="none"/>
        </w:rPr>
        <w:t>）现场提交或邮寄至本公司。供应商打印、保留“</w:t>
      </w:r>
      <w:r>
        <w:rPr>
          <w:rFonts w:hint="eastAsia"/>
          <w:color w:val="auto"/>
          <w:szCs w:val="21"/>
          <w:highlight w:val="none"/>
        </w:rPr>
        <w:t>投标供应商确认函</w:t>
      </w:r>
      <w:r>
        <w:rPr>
          <w:rFonts w:hint="eastAsia" w:ascii="宋体" w:hAnsi="宋体" w:cs="宋体"/>
          <w:color w:val="auto"/>
          <w:szCs w:val="21"/>
          <w:highlight w:val="none"/>
        </w:rPr>
        <w:t>”质疑时与质疑函一并提交。</w:t>
      </w:r>
    </w:p>
    <w:p w14:paraId="0B5AF45B">
      <w:pPr>
        <w:spacing w:line="440" w:lineRule="exact"/>
        <w:ind w:left="372" w:firstLine="1"/>
        <w:rPr>
          <w:rFonts w:hint="eastAsia" w:ascii="宋体" w:hAnsi="宋体" w:cs="宋体"/>
          <w:color w:val="auto"/>
          <w:szCs w:val="21"/>
          <w:highlight w:val="none"/>
        </w:rPr>
      </w:pPr>
      <w:r>
        <w:rPr>
          <w:rFonts w:hint="eastAsia" w:ascii="宋体" w:hAnsi="宋体" w:cs="宋体"/>
          <w:color w:val="auto"/>
          <w:szCs w:val="21"/>
          <w:highlight w:val="none"/>
        </w:rPr>
        <w:t>地  址：松陵镇吴江经济技术开发区二二七省道西、学院路南侧二楼北侧</w:t>
      </w:r>
    </w:p>
    <w:p w14:paraId="3B5CFA03">
      <w:pPr>
        <w:spacing w:line="440" w:lineRule="exact"/>
        <w:ind w:left="372" w:firstLine="1"/>
        <w:rPr>
          <w:rFonts w:hint="eastAsia" w:ascii="宋体" w:hAnsi="宋体" w:cs="宋体"/>
          <w:bCs/>
          <w:color w:val="auto"/>
          <w:szCs w:val="21"/>
          <w:highlight w:val="none"/>
        </w:rPr>
      </w:pPr>
      <w:r>
        <w:rPr>
          <w:rFonts w:hint="eastAsia" w:ascii="宋体" w:hAnsi="宋体" w:cs="宋体"/>
          <w:b/>
          <w:bCs/>
          <w:color w:val="auto"/>
          <w:szCs w:val="21"/>
          <w:highlight w:val="none"/>
        </w:rPr>
        <w:t>联系人：</w:t>
      </w:r>
      <w:r>
        <w:rPr>
          <w:rFonts w:hint="eastAsia" w:ascii="宋体" w:hAnsi="宋体" w:cs="宋体"/>
          <w:color w:val="auto"/>
          <w:szCs w:val="21"/>
          <w:highlight w:val="none"/>
        </w:rPr>
        <w:t>王晓品          联系电话：0512-63092799</w:t>
      </w:r>
    </w:p>
    <w:p w14:paraId="78F00C58">
      <w:pPr>
        <w:pStyle w:val="252"/>
        <w:spacing w:line="440" w:lineRule="exact"/>
        <w:ind w:firstLine="422"/>
        <w:rPr>
          <w:rStyle w:val="218"/>
          <w:rFonts w:hint="eastAsia" w:ascii="宋体" w:hAnsi="宋体" w:cs="宋体"/>
          <w:b/>
          <w:bCs/>
          <w:color w:val="auto"/>
          <w:sz w:val="21"/>
          <w:szCs w:val="21"/>
          <w:highlight w:val="none"/>
        </w:rPr>
      </w:pPr>
      <w:r>
        <w:rPr>
          <w:rStyle w:val="218"/>
          <w:rFonts w:hint="eastAsia" w:ascii="宋体" w:hAnsi="宋体" w:cs="宋体"/>
          <w:b/>
          <w:bCs/>
          <w:color w:val="auto"/>
          <w:sz w:val="21"/>
          <w:szCs w:val="21"/>
          <w:highlight w:val="none"/>
        </w:rPr>
        <w:t>九、对本次采购提出询问，请按以下方式联系。</w:t>
      </w:r>
      <w:bookmarkEnd w:id="7"/>
    </w:p>
    <w:p w14:paraId="2C168235">
      <w:pPr>
        <w:pStyle w:val="202"/>
        <w:spacing w:line="440" w:lineRule="exact"/>
        <w:ind w:firstLine="420"/>
        <w:rPr>
          <w:rFonts w:hint="eastAsia" w:ascii="宋体" w:hAnsi="宋体" w:cs="宋体"/>
          <w:color w:val="auto"/>
          <w:sz w:val="21"/>
          <w:szCs w:val="21"/>
          <w:highlight w:val="none"/>
          <w:lang w:val="en-US"/>
        </w:rPr>
      </w:pPr>
      <w:bookmarkStart w:id="9" w:name="_Hlk60214877"/>
      <w:r>
        <w:rPr>
          <w:rFonts w:hint="eastAsia" w:ascii="宋体" w:hAnsi="宋体" w:cs="宋体"/>
          <w:color w:val="auto"/>
          <w:sz w:val="21"/>
          <w:szCs w:val="21"/>
          <w:highlight w:val="none"/>
          <w:lang w:val="en-US"/>
        </w:rPr>
        <w:t>1.釆购人信息</w:t>
      </w:r>
    </w:p>
    <w:p w14:paraId="768DF701">
      <w:pPr>
        <w:pStyle w:val="202"/>
        <w:spacing w:line="440" w:lineRule="exact"/>
        <w:ind w:firstLine="420"/>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名称：苏州市吴江区精神康复医院       </w:t>
      </w:r>
    </w:p>
    <w:p w14:paraId="3F49D3B4">
      <w:pPr>
        <w:pStyle w:val="202"/>
        <w:spacing w:line="400" w:lineRule="exact"/>
        <w:ind w:firstLine="420"/>
        <w:rPr>
          <w:color w:val="auto"/>
          <w:sz w:val="21"/>
          <w:szCs w:val="21"/>
          <w:highlight w:val="none"/>
          <w:lang w:val="en-US"/>
        </w:rPr>
      </w:pPr>
      <w:r>
        <w:rPr>
          <w:rFonts w:hint="eastAsia"/>
          <w:color w:val="auto"/>
          <w:sz w:val="21"/>
          <w:szCs w:val="21"/>
          <w:highlight w:val="none"/>
          <w:lang w:val="en-US"/>
        </w:rPr>
        <w:t>联系人：</w:t>
      </w:r>
      <w:r>
        <w:rPr>
          <w:rFonts w:hint="eastAsia" w:ascii="宋体" w:hAnsi="宋体" w:cs="宋体"/>
          <w:color w:val="auto"/>
          <w:sz w:val="21"/>
          <w:szCs w:val="21"/>
          <w:highlight w:val="none"/>
        </w:rPr>
        <w:t>王震宇</w:t>
      </w:r>
      <w:r>
        <w:rPr>
          <w:rFonts w:hint="eastAsia"/>
          <w:color w:val="auto"/>
          <w:sz w:val="21"/>
          <w:szCs w:val="21"/>
          <w:highlight w:val="none"/>
          <w:lang w:val="en-US"/>
        </w:rPr>
        <w:t xml:space="preserve">                 </w:t>
      </w:r>
    </w:p>
    <w:p w14:paraId="0E4B816D">
      <w:pPr>
        <w:pStyle w:val="202"/>
        <w:spacing w:line="400" w:lineRule="exact"/>
        <w:ind w:firstLine="420"/>
        <w:rPr>
          <w:color w:val="auto"/>
          <w:sz w:val="21"/>
          <w:szCs w:val="21"/>
          <w:highlight w:val="none"/>
          <w:lang w:val="en-US"/>
        </w:rPr>
      </w:pPr>
      <w:r>
        <w:rPr>
          <w:color w:val="auto"/>
          <w:sz w:val="21"/>
          <w:szCs w:val="21"/>
          <w:highlight w:val="none"/>
          <w:lang w:val="en-US"/>
        </w:rPr>
        <w:t>联系电话：</w:t>
      </w:r>
      <w:r>
        <w:rPr>
          <w:rFonts w:hint="eastAsia" w:ascii="宋体" w:hAnsi="宋体" w:cs="宋体"/>
          <w:color w:val="auto"/>
          <w:sz w:val="21"/>
          <w:szCs w:val="21"/>
          <w:highlight w:val="none"/>
        </w:rPr>
        <w:t>0512-63495016</w:t>
      </w:r>
      <w:r>
        <w:rPr>
          <w:rFonts w:hint="eastAsia"/>
          <w:color w:val="auto"/>
          <w:sz w:val="21"/>
          <w:szCs w:val="21"/>
          <w:highlight w:val="none"/>
          <w:lang w:val="en-US"/>
        </w:rPr>
        <w:t xml:space="preserve"> </w:t>
      </w:r>
    </w:p>
    <w:p w14:paraId="01B0EEB2">
      <w:pPr>
        <w:pStyle w:val="202"/>
        <w:spacing w:line="400" w:lineRule="exact"/>
        <w:ind w:firstLine="420"/>
        <w:rPr>
          <w:color w:val="auto"/>
          <w:sz w:val="21"/>
          <w:szCs w:val="21"/>
          <w:highlight w:val="none"/>
        </w:rPr>
      </w:pPr>
      <w:r>
        <w:rPr>
          <w:color w:val="auto"/>
          <w:sz w:val="21"/>
          <w:szCs w:val="21"/>
          <w:highlight w:val="none"/>
          <w:lang w:val="en-US"/>
        </w:rPr>
        <w:t>地址</w:t>
      </w:r>
      <w:r>
        <w:rPr>
          <w:rFonts w:hint="eastAsia"/>
          <w:color w:val="auto"/>
          <w:sz w:val="21"/>
          <w:szCs w:val="21"/>
          <w:highlight w:val="none"/>
          <w:lang w:val="en-US"/>
        </w:rPr>
        <w:t>：</w:t>
      </w:r>
      <w:r>
        <w:rPr>
          <w:rFonts w:hint="eastAsia" w:ascii="宋体" w:hAnsi="宋体" w:cs="宋体"/>
          <w:color w:val="auto"/>
          <w:sz w:val="21"/>
          <w:szCs w:val="21"/>
          <w:highlight w:val="none"/>
        </w:rPr>
        <w:t>苏州市吴江区夏蓉街565号</w:t>
      </w:r>
    </w:p>
    <w:p w14:paraId="7BC1C9B3">
      <w:pPr>
        <w:pStyle w:val="202"/>
        <w:spacing w:line="440" w:lineRule="exact"/>
        <w:ind w:firstLine="420"/>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2.政府釆购代理机构信息</w:t>
      </w:r>
    </w:p>
    <w:p w14:paraId="5463CA38">
      <w:pPr>
        <w:pStyle w:val="202"/>
        <w:spacing w:line="440" w:lineRule="exact"/>
        <w:ind w:firstLine="420"/>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名称：苏州鼎力招投标咨询服务有限公司</w:t>
      </w:r>
    </w:p>
    <w:p w14:paraId="1351B05F">
      <w:pPr>
        <w:pStyle w:val="202"/>
        <w:spacing w:line="440" w:lineRule="exact"/>
        <w:ind w:firstLine="420"/>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地址：苏州市吴江区江陵街道吴江汽车客运站北侧二楼（吴江经济技术开发区二二七省道西、学院路南侧）</w:t>
      </w:r>
    </w:p>
    <w:p w14:paraId="3FE7E0D0">
      <w:pPr>
        <w:pStyle w:val="202"/>
        <w:spacing w:line="440" w:lineRule="exact"/>
        <w:ind w:firstLine="420"/>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联系方式：0512-63092799</w:t>
      </w:r>
      <w:bookmarkEnd w:id="8"/>
      <w:bookmarkEnd w:id="9"/>
    </w:p>
    <w:p w14:paraId="3DA85D29">
      <w:pPr>
        <w:pStyle w:val="202"/>
        <w:spacing w:line="440" w:lineRule="exact"/>
        <w:ind w:firstLine="420"/>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3.项目联系方式</w:t>
      </w:r>
    </w:p>
    <w:p w14:paraId="7F0AC050">
      <w:pPr>
        <w:pStyle w:val="202"/>
        <w:spacing w:line="440" w:lineRule="exact"/>
        <w:ind w:firstLine="420"/>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项目联系人： 王晓品</w:t>
      </w:r>
    </w:p>
    <w:p w14:paraId="5A80B5C5">
      <w:pPr>
        <w:pStyle w:val="202"/>
        <w:spacing w:line="440" w:lineRule="exact"/>
        <w:ind w:firstLine="420"/>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联系电话：0512-63092799</w:t>
      </w:r>
      <w:r>
        <w:rPr>
          <w:rFonts w:hint="eastAsia"/>
          <w:color w:val="auto"/>
          <w:sz w:val="21"/>
          <w:szCs w:val="21"/>
          <w:highlight w:val="none"/>
          <w:lang w:val="en-US"/>
        </w:rPr>
        <w:t xml:space="preserve"> </w:t>
      </w:r>
    </w:p>
    <w:p w14:paraId="16CA3863">
      <w:pPr>
        <w:pStyle w:val="202"/>
        <w:spacing w:line="400" w:lineRule="exact"/>
        <w:ind w:firstLine="0"/>
        <w:rPr>
          <w:color w:val="auto"/>
          <w:sz w:val="21"/>
          <w:szCs w:val="21"/>
          <w:highlight w:val="none"/>
          <w:lang w:val="en-US"/>
        </w:rPr>
      </w:pPr>
    </w:p>
    <w:p w14:paraId="66E1DE11">
      <w:pPr>
        <w:spacing w:line="44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备注：本次采购的有关信息将在江苏省政府采购网、苏州政府采购网、中国政府采购网等媒体上发布，敬请留意，请各单位获取本次招标采购文件后，认真阅读各项内容，进行必要准备工作，按文件的要求详细填写和编制响应文件，并按以上确定的时间、地点准时参加开标。</w:t>
      </w:r>
    </w:p>
    <w:p w14:paraId="0211238C">
      <w:pPr>
        <w:pStyle w:val="2"/>
        <w:jc w:val="center"/>
        <w:rPr>
          <w:rFonts w:hint="eastAsia"/>
          <w:color w:val="auto"/>
          <w:highlight w:val="none"/>
        </w:rPr>
      </w:pPr>
      <w:bookmarkStart w:id="10" w:name="_Toc609"/>
      <w:bookmarkStart w:id="11" w:name="_Toc61514582"/>
      <w:r>
        <w:rPr>
          <w:rFonts w:ascii="Times New Roman" w:hAnsi="Times New Roman"/>
          <w:color w:val="auto"/>
          <w:sz w:val="44"/>
          <w:szCs w:val="44"/>
          <w:highlight w:val="none"/>
        </w:rPr>
        <w:br w:type="page" w:clear="all"/>
      </w:r>
      <w:bookmarkEnd w:id="10"/>
      <w:bookmarkEnd w:id="11"/>
      <w:bookmarkStart w:id="12" w:name="_Toc24451"/>
      <w:bookmarkStart w:id="13" w:name="_Toc16385"/>
      <w:bookmarkStart w:id="14" w:name="_Toc18252"/>
      <w:bookmarkStart w:id="15" w:name="_Toc19605"/>
      <w:bookmarkStart w:id="16" w:name="_Toc61514583"/>
      <w:r>
        <w:rPr>
          <w:rFonts w:ascii="Times New Roman" w:hAnsi="Times New Roman"/>
          <w:color w:val="auto"/>
          <w:sz w:val="44"/>
          <w:szCs w:val="44"/>
          <w:highlight w:val="none"/>
        </w:rPr>
        <w:t xml:space="preserve">第二章 </w:t>
      </w:r>
      <w:bookmarkEnd w:id="12"/>
      <w:r>
        <w:rPr>
          <w:rFonts w:hint="eastAsia" w:ascii="Times New Roman" w:hAnsi="Times New Roman"/>
          <w:color w:val="auto"/>
          <w:sz w:val="44"/>
          <w:szCs w:val="44"/>
          <w:highlight w:val="none"/>
        </w:rPr>
        <w:t>投标人须知</w:t>
      </w:r>
    </w:p>
    <w:p w14:paraId="668D5E84">
      <w:pPr>
        <w:pStyle w:val="12"/>
        <w:spacing w:line="440" w:lineRule="exact"/>
        <w:ind w:firstLine="422"/>
        <w:rPr>
          <w:rFonts w:hint="eastAsia" w:ascii="宋体" w:hAnsi="宋体" w:eastAsia="宋体" w:cs="宋体"/>
          <w:b/>
          <w:color w:val="auto"/>
          <w:sz w:val="21"/>
          <w:szCs w:val="21"/>
          <w:highlight w:val="none"/>
        </w:rPr>
      </w:pPr>
      <w:bookmarkStart w:id="17" w:name="_Toc20132"/>
      <w:bookmarkStart w:id="18" w:name="_Toc13437"/>
      <w:r>
        <w:rPr>
          <w:rFonts w:hint="eastAsia" w:ascii="宋体" w:hAnsi="宋体" w:eastAsia="宋体" w:cs="宋体"/>
          <w:b/>
          <w:color w:val="auto"/>
          <w:sz w:val="21"/>
          <w:szCs w:val="21"/>
          <w:highlight w:val="none"/>
        </w:rPr>
        <w:t>一、说明和释义</w:t>
      </w:r>
      <w:bookmarkEnd w:id="17"/>
      <w:bookmarkEnd w:id="18"/>
    </w:p>
    <w:p w14:paraId="586FD1AF">
      <w:pPr>
        <w:pStyle w:val="12"/>
        <w:spacing w:line="440" w:lineRule="exact"/>
        <w:ind w:firstLine="422"/>
        <w:rPr>
          <w:rFonts w:hint="eastAsia" w:ascii="宋体" w:hAnsi="宋体" w:eastAsia="宋体" w:cs="宋体"/>
          <w:b/>
          <w:color w:val="auto"/>
          <w:sz w:val="21"/>
          <w:szCs w:val="21"/>
          <w:highlight w:val="none"/>
        </w:rPr>
      </w:pPr>
      <w:bookmarkStart w:id="19" w:name="_Toc9408"/>
      <w:r>
        <w:rPr>
          <w:rFonts w:hint="eastAsia" w:ascii="宋体" w:hAnsi="宋体" w:eastAsia="宋体" w:cs="宋体"/>
          <w:b/>
          <w:color w:val="auto"/>
          <w:sz w:val="21"/>
          <w:szCs w:val="21"/>
          <w:highlight w:val="none"/>
        </w:rPr>
        <w:t>1.说明</w:t>
      </w:r>
      <w:bookmarkEnd w:id="19"/>
    </w:p>
    <w:p w14:paraId="54CC0E59">
      <w:pPr>
        <w:pStyle w:val="12"/>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1.1本招标文件仅适用苏州鼎力招投标咨询服务有限公司组织的招标活动。</w:t>
      </w:r>
    </w:p>
    <w:p w14:paraId="334F5C20">
      <w:pPr>
        <w:pStyle w:val="12"/>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1.2本次招标活动及因本次招标产生的合同受中国法律制约和保护。</w:t>
      </w:r>
    </w:p>
    <w:p w14:paraId="068E11C4">
      <w:pPr>
        <w:pStyle w:val="12"/>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1.3本招标文件的解释权属苏州鼎力招投标咨询服务有限公司。</w:t>
      </w:r>
    </w:p>
    <w:p w14:paraId="134C5363">
      <w:pPr>
        <w:pStyle w:val="12"/>
        <w:spacing w:line="440" w:lineRule="exact"/>
        <w:ind w:firstLine="422"/>
        <w:rPr>
          <w:rFonts w:hint="eastAsia" w:ascii="宋体" w:hAnsi="宋体" w:eastAsia="宋体" w:cs="宋体"/>
          <w:b/>
          <w:color w:val="auto"/>
          <w:sz w:val="21"/>
          <w:szCs w:val="21"/>
          <w:highlight w:val="none"/>
        </w:rPr>
      </w:pPr>
      <w:bookmarkStart w:id="20" w:name="_Toc27555"/>
      <w:r>
        <w:rPr>
          <w:rFonts w:hint="eastAsia" w:ascii="宋体" w:hAnsi="宋体" w:eastAsia="宋体" w:cs="宋体"/>
          <w:b/>
          <w:color w:val="auto"/>
          <w:sz w:val="21"/>
          <w:szCs w:val="21"/>
          <w:highlight w:val="none"/>
        </w:rPr>
        <w:t>2.词语释义</w:t>
      </w:r>
      <w:bookmarkEnd w:id="20"/>
    </w:p>
    <w:p w14:paraId="7227C5DE">
      <w:pPr>
        <w:pStyle w:val="12"/>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2.1采购人：指依法进行政府采购的国家机关、事业单位、团体组织。</w:t>
      </w:r>
    </w:p>
    <w:p w14:paraId="7ADECBBB">
      <w:pPr>
        <w:pStyle w:val="12"/>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2.2采购代理机构：指依法接受采购人委托，从事货物、工程和服务等政府采购业务的采购代理机构。本项目的采购代理机构是苏州鼎力招投标咨询服务有限公司。</w:t>
      </w:r>
    </w:p>
    <w:p w14:paraId="503ACF53">
      <w:pPr>
        <w:pStyle w:val="12"/>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2.3投标人：指投标招标、参加投标竞争的法人、其他组织或自然人。</w:t>
      </w:r>
    </w:p>
    <w:p w14:paraId="7B308FDF">
      <w:pPr>
        <w:pStyle w:val="12"/>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2.4投标：投标人根据采购人或采购代理机构发布的招标文件，编制投标文件并按规定投标的行为。</w:t>
      </w:r>
    </w:p>
    <w:p w14:paraId="110C4D5C">
      <w:pPr>
        <w:pStyle w:val="12"/>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2.5合同：采供双方根据招标文件和中标的投标文件及中标通知书规定的内容签署的以书面形式所达成的协议，包括所有的附件、附录和构成协议的所有文件。</w:t>
      </w:r>
    </w:p>
    <w:p w14:paraId="200072E7">
      <w:pPr>
        <w:pStyle w:val="12"/>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2.6甲方（采购人）：指招标文件中载明的，依法进行政府采购的国家机关、事业单位、团体组织。</w:t>
      </w:r>
    </w:p>
    <w:p w14:paraId="4C44CF66">
      <w:pPr>
        <w:pStyle w:val="12"/>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2.7乙方（供应商）：合同中规定的向采购人提供货物和服务的法人或其他组织和自然人。</w:t>
      </w:r>
    </w:p>
    <w:p w14:paraId="06D560D6">
      <w:pPr>
        <w:pStyle w:val="12"/>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2.8天：日历日。</w:t>
      </w:r>
    </w:p>
    <w:p w14:paraId="42F0B0FB">
      <w:pPr>
        <w:pStyle w:val="12"/>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2.9时间：除特别说明，均指北京时间。</w:t>
      </w:r>
    </w:p>
    <w:p w14:paraId="26C272B7">
      <w:pPr>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2.10知识产权:指专利权、商标权、著作权等无形财产专有权的统称。</w:t>
      </w:r>
    </w:p>
    <w:p w14:paraId="0CB78EAE">
      <w:pPr>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2.11交货地点:合同中明确约定的乙方提交的货物和服务最终到达地点。</w:t>
      </w:r>
    </w:p>
    <w:p w14:paraId="78E96586">
      <w:pPr>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2.12合同价款:根据合同规定,乙方在正确地履行合同义务后甲方应支付乙方的价款。</w:t>
      </w:r>
    </w:p>
    <w:p w14:paraId="2CE8CE5A">
      <w:pPr>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2.13服务：系指本次招标文件规定乙方应承担的与提供货物和服务有关的辅助服务，比如运输、保险、安装、调试、提供技术援助、培训、配合措施、维修投标及合同中规定乙方应承担的其它义务。</w:t>
      </w:r>
    </w:p>
    <w:p w14:paraId="7A411228">
      <w:pPr>
        <w:pStyle w:val="12"/>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2.14不可抗力：不能预见、不能避免并且不能克服的客观情况。</w:t>
      </w:r>
    </w:p>
    <w:p w14:paraId="2D6282F7">
      <w:pPr>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2.15实质性投标：满足有关本次采购标的、数量、质量、价款或者报酬、履行期限、履行地点和方式、违约责任和解决争议方法等要求。</w:t>
      </w:r>
    </w:p>
    <w:p w14:paraId="37471014">
      <w:pPr>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2.16进口产品：指通过中国海关报关验放进入中国境内且产自境外的产品。</w:t>
      </w:r>
    </w:p>
    <w:p w14:paraId="3C409AA5">
      <w:pPr>
        <w:pStyle w:val="12"/>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2.17书面形式：指书面文字、合同书、信件和传真等可以有形地表现所载内容的形式。</w:t>
      </w:r>
      <w:bookmarkStart w:id="21" w:name="_Toc13350"/>
      <w:bookmarkStart w:id="22" w:name="_Toc14976"/>
    </w:p>
    <w:p w14:paraId="15797B71">
      <w:pPr>
        <w:pStyle w:val="12"/>
        <w:spacing w:line="440" w:lineRule="exact"/>
        <w:ind w:firstLine="422"/>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二、投标人</w:t>
      </w:r>
      <w:bookmarkEnd w:id="21"/>
      <w:bookmarkEnd w:id="22"/>
    </w:p>
    <w:p w14:paraId="70816D2C">
      <w:pPr>
        <w:pStyle w:val="12"/>
        <w:spacing w:line="440" w:lineRule="exact"/>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3.合格投标人的资格条件：</w:t>
      </w:r>
    </w:p>
    <w:p w14:paraId="304629FF">
      <w:pPr>
        <w:pStyle w:val="38"/>
        <w:spacing w:line="440" w:lineRule="exact"/>
        <w:ind w:firstLine="420"/>
        <w:rPr>
          <w:rFonts w:cs="宋体"/>
          <w:color w:val="auto"/>
          <w:sz w:val="21"/>
          <w:szCs w:val="21"/>
          <w:highlight w:val="none"/>
        </w:rPr>
      </w:pPr>
      <w:r>
        <w:rPr>
          <w:rFonts w:cs="宋体"/>
          <w:color w:val="auto"/>
          <w:sz w:val="21"/>
          <w:szCs w:val="21"/>
          <w:highlight w:val="none"/>
        </w:rPr>
        <w:t>3.1满足《中华人民共和国政府采购法》第二十二条规定，投标人应当具备下列条件：</w:t>
      </w:r>
    </w:p>
    <w:p w14:paraId="0EC5DC9A">
      <w:pPr>
        <w:pStyle w:val="38"/>
        <w:spacing w:line="440" w:lineRule="exact"/>
        <w:ind w:firstLine="420"/>
        <w:rPr>
          <w:rFonts w:cs="宋体"/>
          <w:color w:val="auto"/>
          <w:sz w:val="21"/>
          <w:szCs w:val="21"/>
          <w:highlight w:val="none"/>
        </w:rPr>
      </w:pPr>
      <w:r>
        <w:rPr>
          <w:rFonts w:cs="宋体"/>
          <w:color w:val="auto"/>
          <w:sz w:val="21"/>
          <w:szCs w:val="21"/>
          <w:highlight w:val="none"/>
        </w:rPr>
        <w:t>（1）具有独立承担民事责任的能力；</w:t>
      </w:r>
    </w:p>
    <w:p w14:paraId="57ACC5ED">
      <w:pPr>
        <w:pStyle w:val="38"/>
        <w:spacing w:line="440" w:lineRule="exact"/>
        <w:ind w:firstLine="420"/>
        <w:rPr>
          <w:rFonts w:cs="宋体"/>
          <w:color w:val="auto"/>
          <w:sz w:val="21"/>
          <w:szCs w:val="21"/>
          <w:highlight w:val="none"/>
        </w:rPr>
      </w:pPr>
      <w:r>
        <w:rPr>
          <w:rFonts w:cs="宋体"/>
          <w:color w:val="auto"/>
          <w:sz w:val="21"/>
          <w:szCs w:val="21"/>
          <w:highlight w:val="none"/>
        </w:rPr>
        <w:t>（2）具有良好的商业信誉和健全的财务会计制度；</w:t>
      </w:r>
    </w:p>
    <w:p w14:paraId="1A3207F7">
      <w:pPr>
        <w:pStyle w:val="38"/>
        <w:spacing w:line="440" w:lineRule="exact"/>
        <w:ind w:firstLine="420"/>
        <w:rPr>
          <w:rFonts w:cs="宋体"/>
          <w:color w:val="auto"/>
          <w:sz w:val="21"/>
          <w:szCs w:val="21"/>
          <w:highlight w:val="none"/>
        </w:rPr>
      </w:pPr>
      <w:r>
        <w:rPr>
          <w:rFonts w:cs="宋体"/>
          <w:color w:val="auto"/>
          <w:sz w:val="21"/>
          <w:szCs w:val="21"/>
          <w:highlight w:val="none"/>
        </w:rPr>
        <w:t>（3）具有履行合同所必需的设备和专业技术能力；</w:t>
      </w:r>
    </w:p>
    <w:p w14:paraId="0C6853AB">
      <w:pPr>
        <w:pStyle w:val="38"/>
        <w:spacing w:line="440" w:lineRule="exact"/>
        <w:ind w:firstLine="420"/>
        <w:rPr>
          <w:rFonts w:cs="宋体"/>
          <w:color w:val="auto"/>
          <w:sz w:val="21"/>
          <w:szCs w:val="21"/>
          <w:highlight w:val="none"/>
        </w:rPr>
      </w:pPr>
      <w:r>
        <w:rPr>
          <w:rFonts w:cs="宋体"/>
          <w:color w:val="auto"/>
          <w:sz w:val="21"/>
          <w:szCs w:val="21"/>
          <w:highlight w:val="none"/>
        </w:rPr>
        <w:t>（4）有依法缴纳税收和社会保障资金的良好记录；</w:t>
      </w:r>
    </w:p>
    <w:p w14:paraId="195E7ECC">
      <w:pPr>
        <w:pStyle w:val="38"/>
        <w:spacing w:line="440" w:lineRule="exact"/>
        <w:ind w:firstLine="420"/>
        <w:rPr>
          <w:rFonts w:cs="宋体"/>
          <w:color w:val="auto"/>
          <w:sz w:val="21"/>
          <w:szCs w:val="21"/>
          <w:highlight w:val="none"/>
        </w:rPr>
      </w:pPr>
      <w:r>
        <w:rPr>
          <w:rFonts w:cs="宋体"/>
          <w:color w:val="auto"/>
          <w:sz w:val="21"/>
          <w:szCs w:val="21"/>
          <w:highlight w:val="none"/>
        </w:rPr>
        <w:t>（5）参加政府采购活动前三年内，在经营活动中没有重大违法记录；</w:t>
      </w:r>
    </w:p>
    <w:p w14:paraId="59330A03">
      <w:pPr>
        <w:pStyle w:val="38"/>
        <w:spacing w:line="440" w:lineRule="exact"/>
        <w:ind w:firstLine="420"/>
        <w:rPr>
          <w:rFonts w:cs="宋体"/>
          <w:color w:val="auto"/>
          <w:sz w:val="21"/>
          <w:szCs w:val="21"/>
          <w:highlight w:val="none"/>
        </w:rPr>
      </w:pPr>
      <w:r>
        <w:rPr>
          <w:rFonts w:cs="宋体"/>
          <w:color w:val="auto"/>
          <w:sz w:val="21"/>
          <w:szCs w:val="21"/>
          <w:highlight w:val="none"/>
        </w:rPr>
        <w:t>（6）法律、行政法规规定的其他条件。</w:t>
      </w:r>
    </w:p>
    <w:p w14:paraId="1613EDE2">
      <w:pPr>
        <w:pStyle w:val="38"/>
        <w:spacing w:line="440" w:lineRule="exact"/>
        <w:ind w:firstLine="420"/>
        <w:rPr>
          <w:rFonts w:cs="宋体"/>
          <w:color w:val="auto"/>
          <w:sz w:val="21"/>
          <w:szCs w:val="21"/>
          <w:highlight w:val="none"/>
        </w:rPr>
      </w:pPr>
      <w:r>
        <w:rPr>
          <w:rFonts w:cs="宋体"/>
          <w:color w:val="auto"/>
          <w:sz w:val="21"/>
          <w:szCs w:val="21"/>
          <w:highlight w:val="none"/>
        </w:rPr>
        <w:t>3.2落实政府采购政策需满足的资格要求：</w:t>
      </w:r>
      <w:r>
        <w:rPr>
          <w:rFonts w:cs="宋体"/>
          <w:b/>
          <w:color w:val="auto"/>
          <w:sz w:val="21"/>
          <w:szCs w:val="21"/>
          <w:highlight w:val="none"/>
        </w:rPr>
        <w:t>本项目专门面向中小企业采购，投标人必须提供《中小企业声明函》或《残疾人福利性单位声明函》或由省级以上监狱管理局、戒毒管理局（含新疆生产建设兵团）出具的属于监狱企业的证明文件。</w:t>
      </w:r>
    </w:p>
    <w:p w14:paraId="1599B3F2">
      <w:pPr>
        <w:pStyle w:val="38"/>
        <w:spacing w:line="440" w:lineRule="exact"/>
        <w:ind w:firstLine="420"/>
        <w:rPr>
          <w:rFonts w:cs="宋体"/>
          <w:color w:val="auto"/>
          <w:sz w:val="21"/>
          <w:szCs w:val="21"/>
          <w:highlight w:val="none"/>
        </w:rPr>
      </w:pPr>
      <w:r>
        <w:rPr>
          <w:rFonts w:cs="宋体"/>
          <w:color w:val="auto"/>
          <w:sz w:val="21"/>
          <w:szCs w:val="21"/>
          <w:highlight w:val="none"/>
        </w:rPr>
        <w:t>3.3本项目的特定资格要求：</w:t>
      </w:r>
      <w:r>
        <w:rPr>
          <w:rFonts w:hint="eastAsia" w:cs="宋体"/>
          <w:color w:val="auto"/>
          <w:sz w:val="21"/>
          <w:szCs w:val="21"/>
          <w:highlight w:val="none"/>
        </w:rPr>
        <w:t>（如有）</w:t>
      </w:r>
      <w:r>
        <w:rPr>
          <w:rFonts w:cs="宋体"/>
          <w:b/>
          <w:bCs/>
          <w:color w:val="auto"/>
          <w:sz w:val="21"/>
          <w:szCs w:val="21"/>
          <w:highlight w:val="none"/>
        </w:rPr>
        <w:t>。</w:t>
      </w:r>
    </w:p>
    <w:p w14:paraId="44991146">
      <w:pPr>
        <w:pStyle w:val="38"/>
        <w:spacing w:line="440" w:lineRule="exact"/>
        <w:ind w:firstLine="422"/>
        <w:rPr>
          <w:rFonts w:cs="宋体"/>
          <w:b/>
          <w:color w:val="auto"/>
          <w:sz w:val="21"/>
          <w:szCs w:val="21"/>
          <w:highlight w:val="none"/>
        </w:rPr>
      </w:pPr>
      <w:r>
        <w:rPr>
          <w:rFonts w:cs="宋体"/>
          <w:b/>
          <w:color w:val="auto"/>
          <w:sz w:val="21"/>
          <w:szCs w:val="21"/>
          <w:highlight w:val="none"/>
        </w:rPr>
        <w:t>4.投标人代表</w:t>
      </w:r>
    </w:p>
    <w:p w14:paraId="3F387369">
      <w:pPr>
        <w:pStyle w:val="38"/>
        <w:spacing w:line="440" w:lineRule="exact"/>
        <w:ind w:firstLine="420"/>
        <w:rPr>
          <w:rFonts w:cs="宋体"/>
          <w:color w:val="auto"/>
          <w:sz w:val="21"/>
          <w:szCs w:val="21"/>
          <w:highlight w:val="none"/>
        </w:rPr>
      </w:pPr>
      <w:r>
        <w:rPr>
          <w:rFonts w:cs="宋体"/>
          <w:color w:val="auto"/>
          <w:sz w:val="21"/>
          <w:szCs w:val="21"/>
          <w:highlight w:val="none"/>
        </w:rPr>
        <w:t>4.1指授权全权代表投标人参加投标活动并签署投标文件的人，如果投标人代表不是法人代表，须持有《法定代表人授权委托书》（详见统一格式）。</w:t>
      </w:r>
    </w:p>
    <w:p w14:paraId="73B059D5">
      <w:pPr>
        <w:pStyle w:val="38"/>
        <w:spacing w:line="440" w:lineRule="exact"/>
        <w:ind w:firstLine="422"/>
        <w:rPr>
          <w:rFonts w:cs="宋体"/>
          <w:b/>
          <w:color w:val="auto"/>
          <w:sz w:val="21"/>
          <w:szCs w:val="21"/>
          <w:highlight w:val="none"/>
        </w:rPr>
      </w:pPr>
      <w:r>
        <w:rPr>
          <w:rFonts w:cs="宋体"/>
          <w:b/>
          <w:color w:val="auto"/>
          <w:sz w:val="21"/>
          <w:szCs w:val="21"/>
          <w:highlight w:val="none"/>
        </w:rPr>
        <w:t>5.投标费用</w:t>
      </w:r>
    </w:p>
    <w:p w14:paraId="4F7346A6">
      <w:pPr>
        <w:pStyle w:val="38"/>
        <w:spacing w:line="440" w:lineRule="exact"/>
        <w:ind w:firstLine="420"/>
        <w:rPr>
          <w:rFonts w:cs="宋体"/>
          <w:color w:val="auto"/>
          <w:sz w:val="21"/>
          <w:szCs w:val="21"/>
          <w:highlight w:val="none"/>
        </w:rPr>
      </w:pPr>
      <w:r>
        <w:rPr>
          <w:rFonts w:cs="宋体"/>
          <w:color w:val="auto"/>
          <w:sz w:val="21"/>
          <w:szCs w:val="21"/>
          <w:highlight w:val="none"/>
        </w:rPr>
        <w:t>5.1无论投标过程中的做法和结果如何，投标人自行承担所有与参加投标有关的全部费用。</w:t>
      </w:r>
    </w:p>
    <w:p w14:paraId="146A3B54">
      <w:pPr>
        <w:pStyle w:val="12"/>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5.2本次招标活动采购人和采购代理机构不收取标书工本费与中标服务费。</w:t>
      </w:r>
    </w:p>
    <w:p w14:paraId="4A72C401">
      <w:pPr>
        <w:pStyle w:val="12"/>
        <w:spacing w:line="440" w:lineRule="exact"/>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6.联合投标及转包、分包</w:t>
      </w:r>
    </w:p>
    <w:p w14:paraId="2FD646F0">
      <w:pPr>
        <w:pStyle w:val="12"/>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6.1本项目不接受联合体投标。</w:t>
      </w:r>
    </w:p>
    <w:p w14:paraId="4A6C203B">
      <w:pPr>
        <w:pStyle w:val="12"/>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6.2本项目不接受转包、分包。</w:t>
      </w:r>
      <w:bookmarkStart w:id="23" w:name="_Toc5764"/>
      <w:bookmarkStart w:id="24" w:name="_Toc31958"/>
    </w:p>
    <w:p w14:paraId="311D565E">
      <w:pPr>
        <w:pStyle w:val="12"/>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6.3本项目不接受进口产品。</w:t>
      </w:r>
    </w:p>
    <w:p w14:paraId="4D87334F">
      <w:pPr>
        <w:pStyle w:val="12"/>
        <w:spacing w:line="440" w:lineRule="exact"/>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三、招标文件的说明</w:t>
      </w:r>
      <w:bookmarkEnd w:id="23"/>
      <w:bookmarkEnd w:id="24"/>
    </w:p>
    <w:p w14:paraId="56C82B66">
      <w:pPr>
        <w:pStyle w:val="12"/>
        <w:spacing w:line="440" w:lineRule="exact"/>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7.招标文件</w:t>
      </w:r>
    </w:p>
    <w:p w14:paraId="5835CFC1">
      <w:pPr>
        <w:pStyle w:val="12"/>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p>
    <w:p w14:paraId="237007F1">
      <w:pPr>
        <w:pStyle w:val="12"/>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7.2招标文件及其补充通知（包括更正公告）不是直接从财政部门指定的政府采购信息发布媒体上下载获得的，采购人或采购代理机构对招标文件及其补遗的真实性、完整性不承担任何责任。</w:t>
      </w:r>
    </w:p>
    <w:p w14:paraId="1BED6073">
      <w:pPr>
        <w:spacing w:line="440" w:lineRule="exact"/>
        <w:ind w:firstLine="422"/>
        <w:rPr>
          <w:rFonts w:hint="eastAsia" w:ascii="宋体" w:hAnsi="宋体" w:cs="宋体"/>
          <w:b/>
          <w:color w:val="auto"/>
          <w:szCs w:val="21"/>
          <w:highlight w:val="none"/>
        </w:rPr>
      </w:pPr>
      <w:r>
        <w:rPr>
          <w:rFonts w:hint="eastAsia" w:ascii="宋体" w:hAnsi="宋体" w:cs="宋体"/>
          <w:b/>
          <w:color w:val="auto"/>
          <w:szCs w:val="21"/>
          <w:highlight w:val="none"/>
        </w:rPr>
        <w:t>8.招标文件的澄清和修改</w:t>
      </w:r>
    </w:p>
    <w:p w14:paraId="7C99E295">
      <w:pPr>
        <w:pStyle w:val="12"/>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p>
    <w:p w14:paraId="369660EC">
      <w:pPr>
        <w:pStyle w:val="12"/>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p>
    <w:p w14:paraId="4210FBB3">
      <w:pPr>
        <w:pStyle w:val="12"/>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8.3对于补充通知（包括更正公告），投标人通过“苏州市政府采购网”的“采购公告”自行查看项目的补充通知（包括更正公告）。补充通知（包括更正公告）将作为招标文件的组成部分，对所有投标人有约束力。</w:t>
      </w:r>
    </w:p>
    <w:p w14:paraId="2094E430">
      <w:pPr>
        <w:pStyle w:val="12"/>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8.4招标文件的澄清、修改、补充等内容均以苏州市政府采购网上发布的内容为准。</w:t>
      </w:r>
    </w:p>
    <w:p w14:paraId="0B02B6F8">
      <w:pPr>
        <w:spacing w:line="440" w:lineRule="exact"/>
        <w:ind w:firstLine="422"/>
        <w:rPr>
          <w:rFonts w:hint="eastAsia" w:ascii="宋体" w:hAnsi="宋体" w:cs="宋体"/>
          <w:b/>
          <w:color w:val="auto"/>
          <w:szCs w:val="21"/>
          <w:highlight w:val="none"/>
        </w:rPr>
      </w:pPr>
      <w:r>
        <w:rPr>
          <w:rFonts w:hint="eastAsia" w:ascii="宋体" w:hAnsi="宋体" w:cs="宋体"/>
          <w:b/>
          <w:color w:val="auto"/>
          <w:szCs w:val="21"/>
          <w:highlight w:val="none"/>
        </w:rPr>
        <w:t>9.勘察现场（不涉及此条的忽略）</w:t>
      </w:r>
    </w:p>
    <w:p w14:paraId="0231FE0C">
      <w:pPr>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9.1根据自身投标需要，投标人可对有关现场和周围环境进行勘察，以获取编制投标文件和签署合同所需的信息。勘察现场所发生的费用由投标人自己承担。</w:t>
      </w:r>
    </w:p>
    <w:p w14:paraId="52EBBD71">
      <w:pPr>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9.2采购人或采购代理机构向投标人提供的有关现场的资料和数据，是采购人或采购代理机构现有的并认为能使投标人可利用的资料。采购人或采购代理机构对投标人由此而做出的推论、理解和结论概不负责。</w:t>
      </w:r>
    </w:p>
    <w:p w14:paraId="38CF82E7">
      <w:pPr>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9.3经采购人允许，投标人可为勘察目的进入采购人的项目现场，但投标人不得因此使采购人承担有关的责任和蒙受损失。投标人应承担勘察现场的责任和风险。</w:t>
      </w:r>
    </w:p>
    <w:p w14:paraId="0BDDA326">
      <w:pPr>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p>
    <w:p w14:paraId="50C8AA5E">
      <w:pPr>
        <w:spacing w:line="440" w:lineRule="exact"/>
        <w:ind w:firstLine="422"/>
        <w:rPr>
          <w:rFonts w:hint="eastAsia" w:ascii="宋体" w:hAnsi="宋体" w:cs="宋体"/>
          <w:b/>
          <w:color w:val="auto"/>
          <w:szCs w:val="21"/>
          <w:highlight w:val="none"/>
        </w:rPr>
      </w:pPr>
      <w:r>
        <w:rPr>
          <w:rFonts w:hint="eastAsia" w:ascii="宋体" w:hAnsi="宋体" w:cs="宋体"/>
          <w:b/>
          <w:color w:val="auto"/>
          <w:szCs w:val="21"/>
          <w:highlight w:val="none"/>
        </w:rPr>
        <w:t>10.投标质疑</w:t>
      </w:r>
    </w:p>
    <w:p w14:paraId="3D3CAF84">
      <w:pPr>
        <w:pStyle w:val="12"/>
        <w:spacing w:line="440" w:lineRule="exact"/>
        <w:rPr>
          <w:rFonts w:hint="eastAsia" w:ascii="宋体" w:hAnsi="宋体" w:eastAsia="宋体" w:cs="宋体"/>
          <w:color w:val="auto"/>
          <w:sz w:val="21"/>
          <w:szCs w:val="21"/>
          <w:highlight w:val="none"/>
        </w:rPr>
      </w:pPr>
      <w:bookmarkStart w:id="25" w:name="_Toc19463"/>
      <w:bookmarkStart w:id="26" w:name="_Toc16745"/>
      <w:r>
        <w:rPr>
          <w:rFonts w:hint="eastAsia" w:ascii="宋体" w:hAnsi="宋体" w:eastAsia="宋体" w:cs="宋体"/>
          <w:color w:val="auto"/>
          <w:sz w:val="21"/>
          <w:szCs w:val="21"/>
          <w:highlight w:val="none"/>
        </w:rPr>
        <w:t>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p>
    <w:p w14:paraId="5C262CD9">
      <w:pPr>
        <w:pStyle w:val="12"/>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10.2本次招标文件要求供应商在法定质疑期内一次性提出针对同一采购程序环节的质疑，否则不予受理。</w:t>
      </w:r>
    </w:p>
    <w:p w14:paraId="3F936F20">
      <w:pPr>
        <w:pStyle w:val="12"/>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10.3供应商提出质疑应当提交质疑函和必要的证明材料，质疑函应当包括下列内容：</w:t>
      </w:r>
    </w:p>
    <w:p w14:paraId="161B06DA">
      <w:pPr>
        <w:pStyle w:val="12"/>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（1）供应商的姓名或者名称（以提供的营业执照副本复印件为准）、地址、邮编、联系人及联系电话；</w:t>
      </w:r>
    </w:p>
    <w:p w14:paraId="25E2A613">
      <w:pPr>
        <w:pStyle w:val="12"/>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（2）质疑项目的名称、编号；</w:t>
      </w:r>
    </w:p>
    <w:p w14:paraId="0309E852">
      <w:pPr>
        <w:pStyle w:val="12"/>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（3）具体、明确的质疑事项和与质疑事项相关的请求；</w:t>
      </w:r>
    </w:p>
    <w:p w14:paraId="2E2234DB">
      <w:pPr>
        <w:pStyle w:val="12"/>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（4）事实依据；</w:t>
      </w:r>
    </w:p>
    <w:p w14:paraId="71528FB2">
      <w:pPr>
        <w:pStyle w:val="12"/>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（5）必要的法律依据；</w:t>
      </w:r>
    </w:p>
    <w:p w14:paraId="075FA437">
      <w:pPr>
        <w:pStyle w:val="12"/>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（6）提出质疑的日期。</w:t>
      </w:r>
    </w:p>
    <w:p w14:paraId="7B2B91E4">
      <w:pPr>
        <w:pStyle w:val="12"/>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color w:val="auto"/>
          <w:sz w:val="21"/>
          <w:szCs w:val="21"/>
          <w:highlight w:val="none"/>
        </w:rPr>
        <w:t>授权委托书</w:t>
      </w:r>
      <w:r>
        <w:rPr>
          <w:rFonts w:hint="eastAsia" w:ascii="宋体" w:hAnsi="宋体" w:eastAsia="宋体" w:cs="宋体"/>
          <w:color w:val="auto"/>
          <w:sz w:val="21"/>
          <w:szCs w:val="21"/>
          <w:highlight w:val="none"/>
        </w:rPr>
        <w:t>上应当载明代理人的姓名或者名称、代理事项、具体权限、期限和相关事项。</w:t>
      </w:r>
    </w:p>
    <w:p w14:paraId="5188D5B5">
      <w:pPr>
        <w:pStyle w:val="12"/>
        <w:spacing w:line="440" w:lineRule="exact"/>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auto"/>
          <w:sz w:val="21"/>
          <w:szCs w:val="21"/>
          <w:highlight w:val="none"/>
        </w:rPr>
        <w:t>。</w:t>
      </w:r>
    </w:p>
    <w:p w14:paraId="097B6097">
      <w:pPr>
        <w:pStyle w:val="12"/>
        <w:spacing w:line="44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color w:val="auto"/>
          <w:sz w:val="21"/>
          <w:szCs w:val="21"/>
          <w:highlight w:val="none"/>
        </w:rPr>
        <w:t>《投标供应商确认函》</w:t>
      </w:r>
      <w:r>
        <w:rPr>
          <w:rFonts w:hint="eastAsia" w:ascii="宋体" w:hAnsi="宋体" w:eastAsia="宋体" w:cs="宋体"/>
          <w:color w:val="auto"/>
          <w:sz w:val="21"/>
          <w:szCs w:val="21"/>
          <w:highlight w:val="none"/>
        </w:rPr>
        <w:t>）与质疑函一起递交，否则不予受理。</w:t>
      </w:r>
    </w:p>
    <w:p w14:paraId="5D35408B">
      <w:pPr>
        <w:pStyle w:val="12"/>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10.5接收质疑函的方式：书面形式（当场送达或邮寄方式）。</w:t>
      </w:r>
    </w:p>
    <w:p w14:paraId="5EF9FD78">
      <w:pPr>
        <w:pStyle w:val="12"/>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质疑联系人：王晓品</w:t>
      </w:r>
    </w:p>
    <w:p w14:paraId="377DD0CB">
      <w:pPr>
        <w:pStyle w:val="12"/>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联系电话：0512-63092799</w:t>
      </w:r>
    </w:p>
    <w:p w14:paraId="70BFBA4F">
      <w:pPr>
        <w:pStyle w:val="12"/>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现场递交地址:苏州市吴江区江陵街道吴江汽车客运站北侧二楼</w:t>
      </w:r>
    </w:p>
    <w:p w14:paraId="065B5C3E">
      <w:pPr>
        <w:pStyle w:val="12"/>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邮寄收取地址:苏州市吴江区江陵街道吴江汽车客运站北侧二楼（鼎力招投标）</w:t>
      </w:r>
    </w:p>
    <w:p w14:paraId="79EE6D98">
      <w:pPr>
        <w:pStyle w:val="12"/>
        <w:spacing w:line="440" w:lineRule="exact"/>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四、投标文件说明</w:t>
      </w:r>
      <w:bookmarkEnd w:id="25"/>
      <w:bookmarkEnd w:id="26"/>
    </w:p>
    <w:p w14:paraId="4AEF4D77">
      <w:pPr>
        <w:pStyle w:val="12"/>
        <w:spacing w:line="440" w:lineRule="exact"/>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11.提示与要求</w:t>
      </w:r>
    </w:p>
    <w:p w14:paraId="597BA1C6">
      <w:pPr>
        <w:pStyle w:val="12"/>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11.1投标人应仔细阅读招标文件的所有内容，应当按照招标文件的要求编制投标文件，并保证所提供全部资料的真实性，以使其投标对招标文件作出实质性投标，否则，其投标可能被拒绝。</w:t>
      </w:r>
    </w:p>
    <w:p w14:paraId="76FA1712">
      <w:pPr>
        <w:pStyle w:val="12"/>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11.2无论是否递交投标文件，投标人都应将招标文件及以后的所有通知、文件等视为保密文件。</w:t>
      </w:r>
    </w:p>
    <w:p w14:paraId="73540E30">
      <w:pPr>
        <w:pStyle w:val="12"/>
        <w:spacing w:line="440" w:lineRule="exact"/>
        <w:ind w:firstLine="422"/>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12.投标文件计量单位和使用文字</w:t>
      </w:r>
    </w:p>
    <w:p w14:paraId="7AB142FE">
      <w:pPr>
        <w:pStyle w:val="12"/>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12.1投标文件中所使用的计量单位，除招标文件中有特殊要求外，均应使用中华人民共和国法定计量单位。</w:t>
      </w:r>
    </w:p>
    <w:p w14:paraId="7D63F857">
      <w:pPr>
        <w:pStyle w:val="12"/>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12.2投标文件应使用中文编制，投标文件中必须使用其他文字的，必须附有中文译本。对于未附有中文译本和中文译本不准确的投标文件，由此可能引起的对投标人不利的后果，采购人和采购代理机构概不负责。</w:t>
      </w:r>
    </w:p>
    <w:p w14:paraId="7F3B1B5C">
      <w:pPr>
        <w:spacing w:line="360" w:lineRule="auto"/>
        <w:ind w:firstLine="422"/>
        <w:rPr>
          <w:rFonts w:hint="eastAsia" w:ascii="宋体" w:hAnsi="宋体" w:cs="宋体"/>
          <w:b/>
          <w:color w:val="auto"/>
          <w:szCs w:val="21"/>
          <w:highlight w:val="none"/>
        </w:rPr>
      </w:pPr>
      <w:r>
        <w:rPr>
          <w:rFonts w:hint="eastAsia" w:ascii="宋体" w:hAnsi="宋体" w:cs="宋体"/>
          <w:b/>
          <w:color w:val="auto"/>
          <w:szCs w:val="21"/>
          <w:highlight w:val="none"/>
        </w:rPr>
        <w:t>13.知识产权</w:t>
      </w:r>
    </w:p>
    <w:p w14:paraId="19959F1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13.1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14:paraId="1C0438C1">
      <w:pPr>
        <w:tabs>
          <w:tab w:val="left" w:pos="567"/>
        </w:tabs>
        <w:spacing w:line="360" w:lineRule="auto"/>
        <w:ind w:firstLine="422"/>
        <w:rPr>
          <w:rFonts w:hint="eastAsia" w:ascii="宋体" w:hAnsi="宋体" w:cs="宋体"/>
          <w:b/>
          <w:color w:val="auto"/>
          <w:szCs w:val="21"/>
          <w:highlight w:val="none"/>
        </w:rPr>
      </w:pPr>
      <w:r>
        <w:rPr>
          <w:rFonts w:hint="eastAsia" w:ascii="宋体" w:hAnsi="宋体" w:cs="宋体"/>
          <w:b/>
          <w:color w:val="auto"/>
          <w:szCs w:val="21"/>
          <w:highlight w:val="none"/>
        </w:rPr>
        <w:t>14.投标文件的组成</w:t>
      </w:r>
    </w:p>
    <w:p w14:paraId="6901F4F7">
      <w:pPr>
        <w:spacing w:line="360" w:lineRule="auto"/>
        <w:ind w:firstLine="422"/>
        <w:rPr>
          <w:rFonts w:hint="eastAsia" w:ascii="宋体" w:hAnsi="宋体" w:cs="宋体"/>
          <w:b/>
          <w:color w:val="auto"/>
          <w:szCs w:val="21"/>
          <w:highlight w:val="none"/>
        </w:rPr>
      </w:pPr>
      <w:r>
        <w:rPr>
          <w:rFonts w:hint="eastAsia" w:ascii="宋体" w:hAnsi="宋体" w:cs="宋体"/>
          <w:b/>
          <w:color w:val="auto"/>
          <w:szCs w:val="21"/>
          <w:highlight w:val="none"/>
        </w:rPr>
        <w:t>14.1投标文件</w:t>
      </w:r>
    </w:p>
    <w:p w14:paraId="0B1F920F">
      <w:pPr>
        <w:spacing w:line="360" w:lineRule="auto"/>
        <w:ind w:firstLine="422"/>
        <w:rPr>
          <w:rFonts w:hint="eastAsia" w:ascii="宋体" w:hAnsi="宋体" w:cs="宋体"/>
          <w:b/>
          <w:color w:val="auto"/>
          <w:szCs w:val="21"/>
          <w:highlight w:val="none"/>
        </w:rPr>
      </w:pPr>
      <w:r>
        <w:rPr>
          <w:rFonts w:hint="eastAsia" w:ascii="宋体" w:hAnsi="宋体" w:cs="宋体"/>
          <w:b/>
          <w:color w:val="auto"/>
          <w:szCs w:val="21"/>
          <w:highlight w:val="none"/>
        </w:rPr>
        <w:t>14.1.1封面</w:t>
      </w:r>
    </w:p>
    <w:p w14:paraId="5532F342">
      <w:pPr>
        <w:spacing w:line="360" w:lineRule="auto"/>
        <w:ind w:firstLine="422"/>
        <w:rPr>
          <w:rFonts w:hint="eastAsia" w:ascii="宋体" w:hAnsi="宋体" w:cs="宋体"/>
          <w:color w:val="auto"/>
          <w:szCs w:val="21"/>
          <w:highlight w:val="none"/>
        </w:rPr>
      </w:pPr>
      <w:r>
        <w:rPr>
          <w:rFonts w:hint="eastAsia" w:ascii="宋体" w:hAnsi="宋体" w:cs="宋体"/>
          <w:b/>
          <w:color w:val="auto"/>
          <w:szCs w:val="21"/>
          <w:highlight w:val="none"/>
        </w:rPr>
        <w:t>14.1.2开标一览表（报价表）</w:t>
      </w:r>
    </w:p>
    <w:p w14:paraId="1EAB1274">
      <w:pPr>
        <w:spacing w:line="360" w:lineRule="auto"/>
        <w:ind w:firstLine="422"/>
        <w:rPr>
          <w:rFonts w:hint="eastAsia" w:ascii="宋体" w:hAnsi="宋体" w:cs="宋体"/>
          <w:b/>
          <w:color w:val="auto"/>
          <w:szCs w:val="21"/>
          <w:highlight w:val="none"/>
        </w:rPr>
      </w:pPr>
      <w:r>
        <w:rPr>
          <w:rFonts w:hint="eastAsia" w:ascii="宋体" w:hAnsi="宋体" w:cs="宋体"/>
          <w:b/>
          <w:color w:val="auto"/>
          <w:szCs w:val="21"/>
          <w:highlight w:val="none"/>
        </w:rPr>
        <w:t>14.1.3公开分项报价</w:t>
      </w:r>
    </w:p>
    <w:p w14:paraId="23EFC010">
      <w:pPr>
        <w:spacing w:line="360" w:lineRule="auto"/>
        <w:ind w:firstLine="422"/>
        <w:rPr>
          <w:rFonts w:hint="eastAsia" w:ascii="宋体" w:hAnsi="宋体" w:cs="宋体"/>
          <w:b/>
          <w:color w:val="auto"/>
          <w:szCs w:val="21"/>
          <w:highlight w:val="none"/>
        </w:rPr>
      </w:pPr>
      <w:r>
        <w:rPr>
          <w:rFonts w:hint="eastAsia" w:ascii="宋体" w:hAnsi="宋体" w:cs="宋体"/>
          <w:b/>
          <w:color w:val="auto"/>
          <w:szCs w:val="21"/>
          <w:highlight w:val="none"/>
        </w:rPr>
        <w:t>14.1.4资格审查文件</w:t>
      </w:r>
    </w:p>
    <w:p w14:paraId="3FA7EA13">
      <w:pPr>
        <w:pStyle w:val="1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14.1.4.1关于资格文件的声明函（格式见第三章）；</w:t>
      </w:r>
    </w:p>
    <w:p w14:paraId="27CBA096">
      <w:pPr>
        <w:pStyle w:val="12"/>
        <w:overflowPunct w:val="0"/>
        <w:snapToGrid w:val="0"/>
        <w:spacing w:line="360" w:lineRule="auto"/>
        <w:ind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14.1.4.2投标单位情况表（格式见第三章）；</w:t>
      </w:r>
    </w:p>
    <w:p w14:paraId="49DC717C">
      <w:pPr>
        <w:pStyle w:val="1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14.1.4.3投标人法定代表人身份证复印件；</w:t>
      </w:r>
    </w:p>
    <w:p w14:paraId="28FA7778">
      <w:pPr>
        <w:pStyle w:val="1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14.1.4.4法定代表人授权委托书（如有授权，格式见第三章）；</w:t>
      </w:r>
    </w:p>
    <w:p w14:paraId="2BC5ECC5">
      <w:pPr>
        <w:pStyle w:val="1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14.1.4.5投标人授权代理人身份证复印件（如有授权）；</w:t>
      </w:r>
    </w:p>
    <w:p w14:paraId="6319018E">
      <w:pPr>
        <w:pStyle w:val="12"/>
        <w:tabs>
          <w:tab w:val="left" w:pos="0"/>
        </w:tabs>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14.1.4.6合格投标人资格证明材料：</w:t>
      </w:r>
    </w:p>
    <w:p w14:paraId="515D8312">
      <w:pPr>
        <w:pStyle w:val="38"/>
        <w:spacing w:line="360" w:lineRule="auto"/>
        <w:ind w:firstLine="420"/>
        <w:rPr>
          <w:rFonts w:cs="宋体"/>
          <w:color w:val="auto"/>
          <w:sz w:val="21"/>
          <w:szCs w:val="21"/>
          <w:highlight w:val="none"/>
        </w:rPr>
      </w:pPr>
      <w:r>
        <w:rPr>
          <w:rFonts w:cs="宋体"/>
          <w:color w:val="auto"/>
          <w:sz w:val="21"/>
          <w:szCs w:val="21"/>
          <w:highlight w:val="none"/>
        </w:rPr>
        <w:t>（1）具有独立承担民事责任的能力证明。包括法人或者其他组织的营业执照等证明文件，自然人的身份证明；</w:t>
      </w:r>
    </w:p>
    <w:p w14:paraId="0B7A2541">
      <w:pPr>
        <w:pStyle w:val="38"/>
        <w:spacing w:line="360" w:lineRule="auto"/>
        <w:ind w:firstLine="420"/>
        <w:rPr>
          <w:rFonts w:cs="宋体"/>
          <w:color w:val="auto"/>
          <w:sz w:val="21"/>
          <w:szCs w:val="21"/>
          <w:highlight w:val="none"/>
        </w:rPr>
      </w:pPr>
      <w:r>
        <w:rPr>
          <w:rFonts w:cs="宋体"/>
          <w:color w:val="auto"/>
          <w:sz w:val="21"/>
          <w:szCs w:val="21"/>
          <w:highlight w:val="none"/>
        </w:rPr>
        <w:t>（2）</w:t>
      </w:r>
      <w:r>
        <w:rPr>
          <w:rFonts w:hint="eastAsia" w:cs="宋体"/>
          <w:color w:val="auto"/>
          <w:sz w:val="21"/>
          <w:szCs w:val="21"/>
          <w:highlight w:val="none"/>
        </w:rPr>
        <w:t>具有良好的商业信誉和健全的财务会计制度。提供包括但不限于最近一期经审计的财务报告或最近一期财务报表（资产负债表、利润表），其他组织、自然人及成立未满一年的法人应提供银行出具的资信证明</w:t>
      </w:r>
      <w:r>
        <w:rPr>
          <w:rFonts w:cs="宋体"/>
          <w:b/>
          <w:color w:val="auto"/>
          <w:sz w:val="21"/>
          <w:szCs w:val="21"/>
          <w:highlight w:val="none"/>
        </w:rPr>
        <w:t>；</w:t>
      </w:r>
    </w:p>
    <w:p w14:paraId="67F3EEAD">
      <w:pPr>
        <w:pStyle w:val="38"/>
        <w:spacing w:line="360" w:lineRule="auto"/>
        <w:ind w:firstLine="420"/>
        <w:rPr>
          <w:rFonts w:cs="宋体"/>
          <w:color w:val="auto"/>
          <w:sz w:val="21"/>
          <w:szCs w:val="21"/>
          <w:highlight w:val="none"/>
        </w:rPr>
      </w:pPr>
      <w:r>
        <w:rPr>
          <w:rFonts w:cs="宋体"/>
          <w:color w:val="auto"/>
          <w:sz w:val="21"/>
          <w:szCs w:val="21"/>
          <w:highlight w:val="none"/>
        </w:rPr>
        <w:t>（3）具备履行合同所必需的设备和专业技术能力的证明材料或承诺；</w:t>
      </w:r>
    </w:p>
    <w:p w14:paraId="1418484E">
      <w:pPr>
        <w:pStyle w:val="12"/>
        <w:tabs>
          <w:tab w:val="left" w:pos="0"/>
        </w:tabs>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（4）依法缴纳税收和社会保障资金的相关资料</w:t>
      </w:r>
      <w:r>
        <w:rPr>
          <w:rFonts w:hint="eastAsia" w:ascii="宋体" w:hAnsi="宋体" w:eastAsia="宋体" w:cs="宋体"/>
          <w:b/>
          <w:color w:val="auto"/>
          <w:sz w:val="21"/>
          <w:szCs w:val="21"/>
          <w:highlight w:val="none"/>
        </w:rPr>
        <w:t>（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eastAsia="宋体" w:cs="宋体"/>
          <w:color w:val="auto"/>
          <w:sz w:val="21"/>
          <w:szCs w:val="21"/>
          <w:highlight w:val="none"/>
        </w:rPr>
        <w:t>；</w:t>
      </w:r>
    </w:p>
    <w:p w14:paraId="029A8991">
      <w:pPr>
        <w:pStyle w:val="12"/>
        <w:tabs>
          <w:tab w:val="left" w:pos="0"/>
        </w:tabs>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（5）参加政府采购活动前三年内在经营活动中没有重大违法记录的书面声明函。</w:t>
      </w:r>
    </w:p>
    <w:p w14:paraId="7D9C401C">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14.1.4.7《中小企业声明函》或《残疾人福利性单位声明函》或由省级以上监狱管理局、戒毒管理局（含新疆生产建设兵团）出具的属于监狱企业的证明文件；</w:t>
      </w:r>
    </w:p>
    <w:p w14:paraId="6E547A77">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14.1.4.8其它有关资格证明文件；</w:t>
      </w:r>
    </w:p>
    <w:p w14:paraId="39EB2795">
      <w:pPr>
        <w:spacing w:line="360" w:lineRule="auto"/>
        <w:ind w:firstLine="422"/>
        <w:rPr>
          <w:rFonts w:hint="eastAsia" w:ascii="宋体" w:hAnsi="宋体" w:cs="宋体"/>
          <w:b/>
          <w:color w:val="auto"/>
          <w:szCs w:val="21"/>
          <w:highlight w:val="none"/>
        </w:rPr>
      </w:pPr>
      <w:r>
        <w:rPr>
          <w:rFonts w:hint="eastAsia" w:ascii="宋体" w:hAnsi="宋体" w:cs="宋体"/>
          <w:b/>
          <w:color w:val="auto"/>
          <w:szCs w:val="21"/>
          <w:highlight w:val="none"/>
        </w:rPr>
        <w:t>14.1.5符合性审查文件</w:t>
      </w:r>
    </w:p>
    <w:p w14:paraId="0D5A5ED1">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14.1.5.1投标函（格式见第三章）；</w:t>
      </w:r>
    </w:p>
    <w:p w14:paraId="5EF429AD">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14.1.5.2实质性条款（承诺函）；</w:t>
      </w:r>
    </w:p>
    <w:p w14:paraId="57EFC310">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14.1.5.3商务条款偏离表（格式见第三章）；</w:t>
      </w:r>
    </w:p>
    <w:p w14:paraId="241B2843">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14.1.5.4服务条款偏离表（格式见第三章）；</w:t>
      </w:r>
    </w:p>
    <w:p w14:paraId="40E457F3">
      <w:pPr>
        <w:spacing w:line="360" w:lineRule="auto"/>
        <w:ind w:firstLine="408"/>
        <w:rPr>
          <w:rFonts w:hint="eastAsia" w:ascii="宋体" w:hAnsi="宋体" w:cs="宋体"/>
          <w:color w:val="auto"/>
          <w:szCs w:val="21"/>
          <w:highlight w:val="none"/>
        </w:rPr>
      </w:pPr>
      <w:r>
        <w:rPr>
          <w:rFonts w:hint="eastAsia" w:ascii="宋体" w:hAnsi="宋体" w:cs="宋体"/>
          <w:color w:val="auto"/>
          <w:szCs w:val="21"/>
          <w:highlight w:val="none"/>
        </w:rPr>
        <w:t>14.1.5.5对属于《节能产品政府采购品目清单》政府强制采购产品的，需提供该产品有效期内的认证等相关证明材料（如有）；</w:t>
      </w:r>
    </w:p>
    <w:p w14:paraId="130ED54E">
      <w:pPr>
        <w:spacing w:line="360" w:lineRule="auto"/>
        <w:ind w:firstLine="408"/>
        <w:rPr>
          <w:rFonts w:hint="eastAsia" w:ascii="宋体" w:hAnsi="宋体" w:cs="宋体"/>
          <w:color w:val="auto"/>
          <w:szCs w:val="21"/>
          <w:highlight w:val="none"/>
        </w:rPr>
      </w:pPr>
      <w:r>
        <w:rPr>
          <w:rFonts w:hint="eastAsia" w:ascii="宋体" w:hAnsi="宋体" w:cs="宋体"/>
          <w:color w:val="auto"/>
          <w:szCs w:val="21"/>
          <w:highlight w:val="none"/>
        </w:rPr>
        <w:t>14.1.5.6其他有关符合性证明的文件；</w:t>
      </w:r>
    </w:p>
    <w:p w14:paraId="3B19C483">
      <w:pPr>
        <w:spacing w:line="360" w:lineRule="auto"/>
        <w:ind w:firstLine="408"/>
        <w:rPr>
          <w:rFonts w:hint="eastAsia" w:ascii="宋体" w:hAnsi="宋体" w:cs="宋体"/>
          <w:b/>
          <w:color w:val="auto"/>
          <w:szCs w:val="21"/>
          <w:highlight w:val="none"/>
        </w:rPr>
      </w:pPr>
      <w:r>
        <w:rPr>
          <w:rFonts w:hint="eastAsia" w:ascii="宋体" w:hAnsi="宋体" w:cs="宋体"/>
          <w:b/>
          <w:color w:val="auto"/>
          <w:szCs w:val="21"/>
          <w:highlight w:val="none"/>
        </w:rPr>
        <w:t>14.1.6综合评审文件（所需材料详见第六章评分标准）</w:t>
      </w:r>
    </w:p>
    <w:p w14:paraId="6694B1C0">
      <w:pPr>
        <w:widowControl/>
        <w:spacing w:line="360" w:lineRule="auto"/>
        <w:ind w:firstLine="420" w:firstLineChars="200"/>
        <w:textAlignment w:val="center"/>
        <w:rPr>
          <w:rFonts w:hint="eastAsia" w:ascii="宋体" w:hAnsi="宋体" w:cs="宋体"/>
          <w:b/>
          <w:bCs/>
          <w:color w:val="auto"/>
          <w:szCs w:val="21"/>
          <w:highlight w:val="none"/>
        </w:rPr>
      </w:pPr>
      <w:r>
        <w:rPr>
          <w:rFonts w:hint="eastAsia" w:ascii="宋体" w:hAnsi="宋体" w:cs="宋体"/>
          <w:color w:val="auto"/>
          <w:szCs w:val="21"/>
          <w:highlight w:val="none"/>
          <w:lang w:val="zh-CN"/>
        </w:rPr>
        <w:t>14.1.6.1服务技术方案</w:t>
      </w:r>
    </w:p>
    <w:p w14:paraId="7173FC9F">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14.1.6.2投标人管理体系资质证书比较</w:t>
      </w:r>
    </w:p>
    <w:p w14:paraId="09AF52DB">
      <w:pPr>
        <w:pStyle w:val="53"/>
        <w:spacing w:line="360" w:lineRule="auto"/>
        <w:ind w:firstLine="420"/>
        <w:rPr>
          <w:rFonts w:hint="eastAsia" w:hAnsi="宋体" w:cs="宋体"/>
          <w:color w:val="auto"/>
          <w:szCs w:val="21"/>
          <w:highlight w:val="none"/>
        </w:rPr>
      </w:pPr>
      <w:r>
        <w:rPr>
          <w:rFonts w:hint="eastAsia" w:hAnsi="宋体" w:cs="宋体"/>
          <w:color w:val="auto"/>
          <w:szCs w:val="21"/>
          <w:highlight w:val="none"/>
        </w:rPr>
        <w:t>14.1.6.3投标人类似业绩比较</w:t>
      </w:r>
    </w:p>
    <w:p w14:paraId="260A4F09">
      <w:pPr>
        <w:spacing w:line="360" w:lineRule="auto"/>
        <w:ind w:firstLine="408"/>
        <w:rPr>
          <w:rFonts w:hint="eastAsia" w:ascii="宋体" w:hAnsi="宋体" w:cs="宋体"/>
          <w:color w:val="auto"/>
          <w:szCs w:val="21"/>
          <w:highlight w:val="none"/>
        </w:rPr>
      </w:pPr>
      <w:r>
        <w:rPr>
          <w:rFonts w:hint="eastAsia" w:ascii="宋体" w:hAnsi="宋体" w:cs="宋体"/>
          <w:b/>
          <w:bCs/>
          <w:color w:val="auto"/>
          <w:szCs w:val="21"/>
          <w:highlight w:val="none"/>
        </w:rPr>
        <w:t>14.1.6.4</w:t>
      </w:r>
      <w:r>
        <w:rPr>
          <w:rFonts w:hint="eastAsia" w:ascii="宋体" w:hAnsi="宋体" w:cs="宋体"/>
          <w:color w:val="auto"/>
          <w:szCs w:val="21"/>
          <w:highlight w:val="none"/>
        </w:rPr>
        <w:t>其他可以证明投标人资质、服务质量的证书、文件等相关资料。</w:t>
      </w:r>
    </w:p>
    <w:p w14:paraId="7486DDF0">
      <w:pPr>
        <w:pStyle w:val="202"/>
        <w:spacing w:line="360" w:lineRule="auto"/>
        <w:ind w:firstLine="422"/>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注：（1）以上14.1.4.1-14.1.4.8为资格审查要求提供的材料，是作为对供应商资格审查、质疑身份认定的依据，投标人必须提供并加盖电子公章。否则，投标文件将被认定为不符合资格审查要求。</w:t>
      </w:r>
    </w:p>
    <w:p w14:paraId="74FD3FF0">
      <w:pPr>
        <w:pStyle w:val="202"/>
        <w:spacing w:line="360" w:lineRule="auto"/>
        <w:ind w:firstLine="422"/>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（2）以上14.1.5.1-14.1.5.6为符合性审查须提供的资料，投标人必须提供并加盖电子公章。否则，投标文件将被认定为未实质性响应。</w:t>
      </w:r>
    </w:p>
    <w:p w14:paraId="328ACEDA">
      <w:pPr>
        <w:pStyle w:val="202"/>
        <w:spacing w:line="360" w:lineRule="auto"/>
        <w:ind w:firstLine="422"/>
        <w:rPr>
          <w:rFonts w:hint="eastAsia" w:ascii="宋体" w:hAnsi="宋体" w:cs="宋体"/>
          <w:color w:val="auto"/>
          <w:sz w:val="21"/>
          <w:szCs w:val="21"/>
          <w:highlight w:val="none"/>
        </w:rPr>
      </w:pPr>
      <w:r>
        <w:rPr>
          <w:rFonts w:hint="eastAsia" w:ascii="宋体" w:hAnsi="宋体" w:cs="宋体"/>
          <w:b/>
          <w:bCs/>
          <w:color w:val="auto"/>
          <w:sz w:val="21"/>
          <w:szCs w:val="21"/>
          <w:highlight w:val="none"/>
        </w:rPr>
        <w:t>（3）“14.1.4-14.1.7”中不得出现投标</w:t>
      </w:r>
      <w:r>
        <w:rPr>
          <w:rFonts w:hint="eastAsia" w:ascii="宋体" w:hAnsi="宋体" w:cs="宋体"/>
          <w:b/>
          <w:color w:val="auto"/>
          <w:sz w:val="21"/>
          <w:szCs w:val="21"/>
          <w:highlight w:val="none"/>
        </w:rPr>
        <w:t>总报价。</w:t>
      </w:r>
      <w:r>
        <w:rPr>
          <w:rFonts w:hint="eastAsia" w:ascii="宋体" w:hAnsi="宋体" w:cs="宋体"/>
          <w:color w:val="auto"/>
          <w:sz w:val="21"/>
          <w:szCs w:val="21"/>
          <w:highlight w:val="none"/>
        </w:rPr>
        <w:t>投标人所提交的资料的完整与否，将直接影响投标人的评分。</w:t>
      </w:r>
    </w:p>
    <w:p w14:paraId="122E53FF">
      <w:pPr>
        <w:pStyle w:val="202"/>
        <w:spacing w:line="360" w:lineRule="auto"/>
        <w:ind w:firstLine="422"/>
        <w:rPr>
          <w:rFonts w:hint="eastAsia" w:ascii="宋体" w:hAnsi="宋体" w:cs="宋体"/>
          <w:b/>
          <w:bCs/>
          <w:color w:val="auto"/>
          <w:sz w:val="21"/>
          <w:szCs w:val="21"/>
          <w:highlight w:val="none"/>
        </w:rPr>
      </w:pPr>
      <w:r>
        <w:rPr>
          <w:rFonts w:hint="eastAsia" w:ascii="宋体" w:hAnsi="宋体" w:cs="宋体"/>
          <w:b/>
          <w:color w:val="auto"/>
          <w:sz w:val="21"/>
          <w:szCs w:val="21"/>
          <w:highlight w:val="none"/>
        </w:rPr>
        <w:t>（4）制作电子投标文件时必须与投标文件制作软件目录一一对应，将相关资料上传至相应模块。</w:t>
      </w:r>
    </w:p>
    <w:p w14:paraId="1659061A">
      <w:pPr>
        <w:pStyle w:val="202"/>
        <w:spacing w:line="360" w:lineRule="auto"/>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（5）开评标过程中如有问题采购代理机构工作人员会及时通过《投标供应商确认函》留存的手机号与供应商联系。请供应商确保该手机号通讯畅通，否则导致的不利后果由供应商自行承担。</w:t>
      </w:r>
    </w:p>
    <w:p w14:paraId="704BCA37">
      <w:pPr>
        <w:spacing w:line="360" w:lineRule="auto"/>
        <w:ind w:firstLine="422"/>
        <w:rPr>
          <w:rFonts w:hint="eastAsia" w:ascii="宋体" w:hAnsi="宋体" w:cs="宋体"/>
          <w:b/>
          <w:color w:val="auto"/>
          <w:szCs w:val="21"/>
          <w:highlight w:val="none"/>
        </w:rPr>
      </w:pPr>
      <w:r>
        <w:rPr>
          <w:rFonts w:hint="eastAsia" w:ascii="宋体" w:hAnsi="宋体" w:cs="宋体"/>
          <w:b/>
          <w:color w:val="auto"/>
          <w:szCs w:val="21"/>
          <w:highlight w:val="none"/>
        </w:rPr>
        <w:t>15.投标文件编制要求</w:t>
      </w:r>
    </w:p>
    <w:p w14:paraId="269997B8">
      <w:pPr>
        <w:spacing w:line="360" w:lineRule="auto"/>
        <w:ind w:firstLine="422"/>
        <w:rPr>
          <w:rFonts w:hint="eastAsia" w:ascii="宋体" w:hAnsi="宋体" w:cs="宋体"/>
          <w:b/>
          <w:color w:val="auto"/>
          <w:szCs w:val="21"/>
          <w:highlight w:val="none"/>
        </w:rPr>
      </w:pPr>
      <w:r>
        <w:rPr>
          <w:rFonts w:hint="eastAsia" w:ascii="宋体" w:hAnsi="宋体" w:cs="宋体"/>
          <w:b/>
          <w:color w:val="auto"/>
          <w:szCs w:val="21"/>
          <w:highlight w:val="none"/>
        </w:rPr>
        <w:t>15.1投标文件按统一格式、顺序编写。</w:t>
      </w:r>
    </w:p>
    <w:p w14:paraId="6D5E2B8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15.2《开标一览表》为在开标仪式上唱标的内容，要求按格式填写，统一规范，不得自行增减内容。</w:t>
      </w:r>
    </w:p>
    <w:p w14:paraId="50B806DF">
      <w:pPr>
        <w:pStyle w:val="202"/>
        <w:spacing w:line="360" w:lineRule="auto"/>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16.投标报价（编制）要求的说明</w:t>
      </w:r>
    </w:p>
    <w:p w14:paraId="3EEC8189">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16.1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p>
    <w:p w14:paraId="12324D86">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16.</w:t>
      </w:r>
      <w:r>
        <w:rPr>
          <w:rFonts w:hint="eastAsia" w:ascii="宋体" w:hAnsi="宋体" w:cs="宋体"/>
          <w:color w:val="auto"/>
          <w:sz w:val="21"/>
          <w:szCs w:val="21"/>
          <w:highlight w:val="none"/>
          <w:lang w:val="en-US"/>
        </w:rPr>
        <w:t>2</w:t>
      </w:r>
      <w:r>
        <w:rPr>
          <w:rFonts w:hint="eastAsia" w:ascii="宋体" w:hAnsi="宋体" w:cs="宋体"/>
          <w:color w:val="auto"/>
          <w:sz w:val="21"/>
          <w:szCs w:val="21"/>
          <w:highlight w:val="none"/>
        </w:rPr>
        <w:t>投标人应对招标文件内所要采购的全部内容进行报价，只投其中部分内容者，其标书将被拒绝（如为多标段项目，则上述提到的全部内容是指所投标段对应采购的全部内容）。</w:t>
      </w:r>
    </w:p>
    <w:p w14:paraId="2ED4BE9C">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16.</w:t>
      </w:r>
      <w:r>
        <w:rPr>
          <w:rFonts w:hint="eastAsia" w:ascii="宋体" w:hAnsi="宋体" w:cs="宋体"/>
          <w:color w:val="auto"/>
          <w:sz w:val="21"/>
          <w:szCs w:val="21"/>
          <w:highlight w:val="none"/>
          <w:lang w:val="en-US"/>
        </w:rPr>
        <w:t>3</w:t>
      </w:r>
      <w:r>
        <w:rPr>
          <w:rFonts w:hint="eastAsia" w:ascii="宋体" w:hAnsi="宋体" w:cs="宋体"/>
          <w:color w:val="auto"/>
          <w:sz w:val="21"/>
          <w:szCs w:val="21"/>
          <w:highlight w:val="none"/>
        </w:rPr>
        <w:t>一项投标内容只允许一个报价，招标人不接受任何有选择性的投标报价。</w:t>
      </w:r>
    </w:p>
    <w:p w14:paraId="32A1319A">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16.</w:t>
      </w:r>
      <w:r>
        <w:rPr>
          <w:rFonts w:hint="eastAsia" w:ascii="宋体" w:hAnsi="宋体" w:cs="宋体"/>
          <w:color w:val="auto"/>
          <w:sz w:val="21"/>
          <w:szCs w:val="21"/>
          <w:highlight w:val="none"/>
          <w:lang w:val="en-US"/>
        </w:rPr>
        <w:t>4</w:t>
      </w:r>
      <w:r>
        <w:rPr>
          <w:rFonts w:hint="eastAsia" w:ascii="宋体" w:hAnsi="宋体" w:cs="宋体"/>
          <w:color w:val="auto"/>
          <w:sz w:val="21"/>
          <w:szCs w:val="21"/>
          <w:highlight w:val="none"/>
        </w:rPr>
        <w:t>投标文件报价采用人民币表示，除非合同的特殊条款另有规定。</w:t>
      </w:r>
    </w:p>
    <w:p w14:paraId="6CF8ACFF">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16.</w:t>
      </w:r>
      <w:r>
        <w:rPr>
          <w:rFonts w:hint="eastAsia" w:ascii="宋体" w:hAnsi="宋体" w:cs="宋体"/>
          <w:color w:val="auto"/>
          <w:sz w:val="21"/>
          <w:szCs w:val="21"/>
          <w:highlight w:val="none"/>
          <w:lang w:val="en-US"/>
        </w:rPr>
        <w:t>5</w:t>
      </w:r>
      <w:r>
        <w:rPr>
          <w:rFonts w:hint="eastAsia" w:ascii="宋体" w:hAnsi="宋体" w:cs="宋体"/>
          <w:color w:val="auto"/>
          <w:sz w:val="21"/>
          <w:szCs w:val="21"/>
          <w:highlight w:val="none"/>
        </w:rPr>
        <w:t>最低的报价或最高的折扣率不能作为中标的保证。</w:t>
      </w:r>
    </w:p>
    <w:p w14:paraId="1B119A7D">
      <w:pPr>
        <w:pStyle w:val="202"/>
        <w:spacing w:line="440" w:lineRule="exact"/>
        <w:ind w:firstLine="422"/>
        <w:rPr>
          <w:rFonts w:hint="eastAsia" w:ascii="宋体" w:hAnsi="宋体" w:cs="宋体"/>
          <w:b/>
          <w:color w:val="auto"/>
          <w:sz w:val="21"/>
          <w:szCs w:val="21"/>
          <w:highlight w:val="none"/>
          <w:lang w:val="en-US"/>
        </w:rPr>
      </w:pPr>
      <w:r>
        <w:rPr>
          <w:rFonts w:hint="eastAsia" w:ascii="宋体" w:hAnsi="宋体" w:cs="宋体"/>
          <w:b/>
          <w:color w:val="auto"/>
          <w:sz w:val="21"/>
          <w:szCs w:val="21"/>
          <w:highlight w:val="none"/>
        </w:rPr>
        <w:t>17.投标保证金：</w:t>
      </w:r>
      <w:r>
        <w:rPr>
          <w:rFonts w:hint="eastAsia" w:ascii="宋体" w:hAnsi="宋体" w:cs="宋体"/>
          <w:b/>
          <w:color w:val="auto"/>
          <w:sz w:val="21"/>
          <w:szCs w:val="21"/>
          <w:highlight w:val="none"/>
          <w:lang w:val="en-US"/>
        </w:rPr>
        <w:t>本项目不收取投标保证金。</w:t>
      </w:r>
    </w:p>
    <w:p w14:paraId="0D607DF6">
      <w:pPr>
        <w:pStyle w:val="202"/>
        <w:spacing w:line="440" w:lineRule="exact"/>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18.投标文件的有效期</w:t>
      </w:r>
    </w:p>
    <w:p w14:paraId="49CD03F5">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18.1自提交投标文件截止之日起90天内，投标文件中承诺的投标有效期应当不少于招标文件中载明的投标有效期。</w:t>
      </w:r>
    </w:p>
    <w:p w14:paraId="591DB3AE">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18.2在特殊情况下，采购人、采购代理机构可与投标人协商延长投标书的有效期。这种要求和答复都应以书面形式进行。同意延长有效期的投标人不能修改投标文件。</w:t>
      </w:r>
    </w:p>
    <w:p w14:paraId="638306B5">
      <w:pPr>
        <w:pStyle w:val="202"/>
        <w:spacing w:line="440" w:lineRule="exact"/>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19.投标文件的制作、签署、上传</w:t>
      </w:r>
    </w:p>
    <w:p w14:paraId="34A52832">
      <w:pPr>
        <w:pStyle w:val="202"/>
        <w:spacing w:line="440" w:lineRule="exact"/>
        <w:ind w:firstLine="420"/>
        <w:rPr>
          <w:rFonts w:hint="eastAsia" w:ascii="宋体" w:hAnsi="宋体" w:cs="宋体"/>
          <w:b/>
          <w:color w:val="auto"/>
          <w:sz w:val="21"/>
          <w:szCs w:val="21"/>
          <w:highlight w:val="none"/>
          <w:lang w:val="en-US"/>
        </w:rPr>
      </w:pPr>
      <w:r>
        <w:rPr>
          <w:rFonts w:hint="eastAsia" w:ascii="宋体" w:hAnsi="宋体" w:cs="宋体"/>
          <w:color w:val="auto"/>
          <w:sz w:val="21"/>
          <w:szCs w:val="21"/>
          <w:highlight w:val="none"/>
        </w:rPr>
        <w:t>19.1本项目采用电子招投标形式，请供应商按照</w:t>
      </w:r>
      <w:r>
        <w:rPr>
          <w:rFonts w:hint="eastAsia" w:ascii="宋体" w:hAnsi="宋体" w:cs="宋体"/>
          <w:b/>
          <w:color w:val="auto"/>
          <w:sz w:val="21"/>
          <w:szCs w:val="21"/>
          <w:highlight w:val="none"/>
        </w:rPr>
        <w:t>《苏采云系统供应商操作手册》</w:t>
      </w:r>
      <w:r>
        <w:rPr>
          <w:rFonts w:hint="eastAsia" w:ascii="宋体" w:hAnsi="宋体" w:cs="宋体"/>
          <w:color w:val="auto"/>
          <w:sz w:val="21"/>
          <w:szCs w:val="21"/>
          <w:highlight w:val="none"/>
        </w:rPr>
        <w:t>进行制作、上传电子投标文件。</w:t>
      </w:r>
    </w:p>
    <w:p w14:paraId="3F03C2DB">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19.2制作电子投标文件时，应按照招标文件要求加盖投标人电子公章。</w:t>
      </w:r>
    </w:p>
    <w:p w14:paraId="0E572A59">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19.3</w:t>
      </w:r>
      <w:r>
        <w:rPr>
          <w:rFonts w:hint="eastAsia" w:ascii="宋体" w:hAnsi="宋体" w:cs="宋体"/>
          <w:b/>
          <w:color w:val="auto"/>
          <w:sz w:val="21"/>
          <w:szCs w:val="21"/>
          <w:highlight w:val="none"/>
        </w:rPr>
        <w:t>电子投标文件制作完成后请于投标文件网上提交截止时间前成功上传至“苏采云”系统，否则视为放弃参加该采购项目。</w:t>
      </w:r>
      <w:bookmarkStart w:id="27" w:name="_Toc31150"/>
      <w:bookmarkStart w:id="28" w:name="_Toc25608"/>
      <w:r>
        <w:rPr>
          <w:rFonts w:hint="eastAsia" w:ascii="宋体" w:hAnsi="宋体" w:cs="宋体"/>
          <w:color w:val="auto"/>
          <w:sz w:val="21"/>
          <w:szCs w:val="21"/>
          <w:highlight w:val="none"/>
        </w:rPr>
        <w:t>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7"/>
      <w:bookmarkEnd w:id="28"/>
    </w:p>
    <w:p w14:paraId="41004331">
      <w:pPr>
        <w:pStyle w:val="202"/>
        <w:spacing w:line="440" w:lineRule="exact"/>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五、投标文件的递交、补充、修改和撤回</w:t>
      </w:r>
    </w:p>
    <w:p w14:paraId="421E84BE">
      <w:pPr>
        <w:pStyle w:val="202"/>
        <w:spacing w:line="440" w:lineRule="exact"/>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20.投标文件的递交</w:t>
      </w:r>
    </w:p>
    <w:p w14:paraId="27D753FA">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20.1投标人应当在在投标截止时间前制作并上传电子投标文件。</w:t>
      </w:r>
    </w:p>
    <w:p w14:paraId="0ABD6754">
      <w:pPr>
        <w:pStyle w:val="12"/>
        <w:spacing w:line="44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20.2投标人通过</w:t>
      </w:r>
      <w:r>
        <w:rPr>
          <w:rFonts w:hint="eastAsia" w:ascii="宋体" w:hAnsi="宋体" w:eastAsia="宋体" w:cs="宋体"/>
          <w:b/>
          <w:color w:val="auto"/>
          <w:sz w:val="21"/>
          <w:szCs w:val="21"/>
          <w:highlight w:val="none"/>
        </w:rPr>
        <w:t>“苏采云”系统不见面开标大厅在线参与开标活动。（具体操作详见《苏采云系统供应商操作手册》，网址链接https://czju.suzhou.gov.cn/zfcg/html/content/20231220161910031.shtml）</w:t>
      </w:r>
    </w:p>
    <w:p w14:paraId="1F31BC43">
      <w:pPr>
        <w:pStyle w:val="202"/>
        <w:spacing w:line="440" w:lineRule="exact"/>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21.投标截止时间</w:t>
      </w:r>
    </w:p>
    <w:p w14:paraId="52101966">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21.1投标人应当在招标文件要求投标文件网上提交截止时间前，将投标文件完成提交（上传）。逾期提交（上传）的投标文件，采购人和采购代理机构拒绝接收。</w:t>
      </w:r>
    </w:p>
    <w:p w14:paraId="4EAB4DB3">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21.2采购人和采购代理机构推迟投标截止时间时，将按本须知规定的更正公告的方式对外发布。在这种情况下，采购人、采购代理机构和投标人的权利和义务将受到新的截止期的约束。</w:t>
      </w:r>
    </w:p>
    <w:p w14:paraId="1CD0983B">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21.3在投标截止时间止成功解密的投标文件少于三份，采购代理机构有权宣布本次招标失败。</w:t>
      </w:r>
    </w:p>
    <w:p w14:paraId="096CDEDC">
      <w:pPr>
        <w:pStyle w:val="202"/>
        <w:spacing w:line="440" w:lineRule="exact"/>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22.投标文件的补充、修改和撤回</w:t>
      </w:r>
    </w:p>
    <w:p w14:paraId="30AE6614">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22.1投标人在投标文件网上提交截止时间前，可以对其电子投标文件进行补充、修改，具体操作方法见《苏采云系统供应商操作手册》。在投标文件网上提交截止时间之后，投标人不得对其电子投标文件作任何修改。</w:t>
      </w:r>
    </w:p>
    <w:p w14:paraId="2D8EE409">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22.2投标人在投标文件网上提交截止时间前，可以撤回其电子投标文件，具体操作方法见《苏采云系统供应商操作手册》。</w:t>
      </w:r>
      <w:bookmarkStart w:id="29" w:name="_Toc22837"/>
      <w:bookmarkStart w:id="30" w:name="_Toc29371"/>
      <w:r>
        <w:rPr>
          <w:rFonts w:hint="eastAsia" w:ascii="宋体" w:hAnsi="宋体" w:cs="宋体"/>
          <w:color w:val="auto"/>
          <w:sz w:val="21"/>
          <w:szCs w:val="21"/>
          <w:highlight w:val="none"/>
        </w:rPr>
        <w:t>投标人撤回电子投标文件，则认为其不再参与本项目投标活动。在投标截止时间至招标文件中规定的投标有效期满之间的这段时间内，投标人不得撤回其投标。</w:t>
      </w:r>
    </w:p>
    <w:p w14:paraId="5DCEEDC8">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六、开标和评标</w:t>
      </w:r>
      <w:bookmarkEnd w:id="29"/>
      <w:bookmarkEnd w:id="30"/>
    </w:p>
    <w:p w14:paraId="6684FA8E">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23.开标</w:t>
      </w:r>
    </w:p>
    <w:p w14:paraId="168CFED1">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23.1开标由采购代理机构</w:t>
      </w:r>
      <w:r>
        <w:rPr>
          <w:rFonts w:hint="eastAsia" w:ascii="宋体" w:hAnsi="宋体" w:cs="宋体"/>
          <w:color w:val="auto"/>
          <w:sz w:val="21"/>
          <w:szCs w:val="21"/>
          <w:highlight w:val="none"/>
          <w:lang w:val="en-US"/>
        </w:rPr>
        <w:t>在线</w:t>
      </w:r>
      <w:r>
        <w:rPr>
          <w:rFonts w:hint="eastAsia" w:ascii="宋体" w:hAnsi="宋体" w:cs="宋体"/>
          <w:color w:val="auto"/>
          <w:sz w:val="21"/>
          <w:szCs w:val="21"/>
          <w:highlight w:val="none"/>
        </w:rPr>
        <w:t>主持，邀请投标人</w:t>
      </w:r>
      <w:r>
        <w:rPr>
          <w:rFonts w:hint="eastAsia" w:ascii="宋体" w:hAnsi="宋体" w:cs="宋体"/>
          <w:color w:val="auto"/>
          <w:sz w:val="21"/>
          <w:szCs w:val="21"/>
          <w:highlight w:val="none"/>
          <w:lang w:val="en-US"/>
        </w:rPr>
        <w:t>在线</w:t>
      </w:r>
      <w:r>
        <w:rPr>
          <w:rFonts w:hint="eastAsia" w:ascii="宋体" w:hAnsi="宋体" w:cs="宋体"/>
          <w:color w:val="auto"/>
          <w:sz w:val="21"/>
          <w:szCs w:val="21"/>
          <w:highlight w:val="none"/>
        </w:rPr>
        <w:t>参加。投标人应当按照《苏采云系统供应商操作手册》规定，</w:t>
      </w:r>
      <w:r>
        <w:rPr>
          <w:rFonts w:hint="eastAsia" w:ascii="宋体" w:hAnsi="宋体" w:cs="宋体"/>
          <w:b/>
          <w:color w:val="auto"/>
          <w:sz w:val="21"/>
          <w:szCs w:val="21"/>
          <w:highlight w:val="none"/>
        </w:rPr>
        <w:t>参加开标活动和在“苏采云”系统规定的时间内对投标文件进行解密</w:t>
      </w:r>
      <w:r>
        <w:rPr>
          <w:rFonts w:hint="eastAsia" w:ascii="宋体" w:hAnsi="宋体" w:cs="宋体"/>
          <w:color w:val="auto"/>
          <w:sz w:val="21"/>
          <w:szCs w:val="21"/>
          <w:highlight w:val="none"/>
        </w:rPr>
        <w:t>。评标委员会成员不得参加开标活动。</w:t>
      </w:r>
    </w:p>
    <w:p w14:paraId="3A185A9D">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23.2开标时，由采购代理机构</w:t>
      </w:r>
      <w:r>
        <w:rPr>
          <w:rFonts w:hint="eastAsia" w:ascii="宋体" w:hAnsi="宋体" w:cs="宋体"/>
          <w:color w:val="auto"/>
          <w:sz w:val="21"/>
          <w:szCs w:val="21"/>
          <w:highlight w:val="none"/>
          <w:lang w:val="en-US"/>
        </w:rPr>
        <w:t>通过“苏采云”系统在线</w:t>
      </w:r>
      <w:r>
        <w:rPr>
          <w:rFonts w:hint="eastAsia" w:ascii="宋体" w:hAnsi="宋体" w:cs="宋体"/>
          <w:color w:val="auto"/>
          <w:sz w:val="21"/>
          <w:szCs w:val="21"/>
          <w:highlight w:val="none"/>
        </w:rPr>
        <w:t>宣布投标人名称、投标价格和招标文件规定的需要宣布的其他内容。</w:t>
      </w:r>
      <w:r>
        <w:rPr>
          <w:rFonts w:hint="eastAsia" w:ascii="宋体" w:hAnsi="宋体" w:cs="宋体"/>
          <w:color w:val="auto"/>
          <w:sz w:val="21"/>
          <w:szCs w:val="21"/>
          <w:highlight w:val="none"/>
          <w:lang w:val="en-US"/>
        </w:rPr>
        <w:t>投标人在不见面开标系统中确认投标价格，如</w:t>
      </w:r>
      <w:r>
        <w:rPr>
          <w:rFonts w:hint="eastAsia" w:ascii="宋体" w:hAnsi="宋体" w:cs="宋体"/>
          <w:color w:val="auto"/>
          <w:sz w:val="21"/>
          <w:szCs w:val="21"/>
          <w:highlight w:val="none"/>
        </w:rPr>
        <w:t>投标人未</w:t>
      </w:r>
      <w:r>
        <w:rPr>
          <w:rFonts w:hint="eastAsia" w:ascii="宋体" w:hAnsi="宋体" w:cs="宋体"/>
          <w:color w:val="auto"/>
          <w:sz w:val="21"/>
          <w:szCs w:val="21"/>
          <w:highlight w:val="none"/>
          <w:lang w:val="en-US"/>
        </w:rPr>
        <w:t>在线</w:t>
      </w:r>
      <w:r>
        <w:rPr>
          <w:rFonts w:hint="eastAsia" w:ascii="宋体" w:hAnsi="宋体" w:cs="宋体"/>
          <w:color w:val="auto"/>
          <w:sz w:val="21"/>
          <w:szCs w:val="21"/>
          <w:highlight w:val="none"/>
        </w:rPr>
        <w:t>参加开标</w:t>
      </w:r>
      <w:r>
        <w:rPr>
          <w:rFonts w:hint="eastAsia" w:ascii="宋体" w:hAnsi="宋体" w:cs="宋体"/>
          <w:color w:val="auto"/>
          <w:sz w:val="21"/>
          <w:szCs w:val="21"/>
          <w:highlight w:val="none"/>
          <w:lang w:val="en-US"/>
        </w:rPr>
        <w:t>或未在规定时间内确认价格</w:t>
      </w:r>
      <w:r>
        <w:rPr>
          <w:rFonts w:hint="eastAsia" w:ascii="宋体" w:hAnsi="宋体" w:cs="宋体"/>
          <w:color w:val="auto"/>
          <w:sz w:val="21"/>
          <w:szCs w:val="21"/>
          <w:highlight w:val="none"/>
        </w:rPr>
        <w:t>的，视同认可开标结果。</w:t>
      </w:r>
    </w:p>
    <w:p w14:paraId="535905D6">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23.3资格审查</w:t>
      </w:r>
    </w:p>
    <w:p w14:paraId="1941C38D">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23.3.1公开招标采购项目开标结束后，采购人应当依法对投标人的资格进行审查，未通过资格审查的视为无效投标。</w:t>
      </w:r>
    </w:p>
    <w:p w14:paraId="0AF7C5C7">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23.3.2根据政府采购法及相关法规，以及苏州市财政局《关于印发苏州市市级政府采购信用记录查询和使用工作试行办法的通知》（苏财购（2017）11号）文件的规定，采购代理机构将对供应商进行信用查询：</w:t>
      </w:r>
    </w:p>
    <w:p w14:paraId="5E6B16B1">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23.3.2.1查询时间：投标文件递交截止时间。</w:t>
      </w:r>
    </w:p>
    <w:p w14:paraId="4D52755E">
      <w:pPr>
        <w:pStyle w:val="202"/>
        <w:spacing w:line="440" w:lineRule="exact"/>
        <w:ind w:firstLine="420"/>
        <w:rPr>
          <w:rFonts w:hint="eastAsia" w:ascii="宋体" w:hAnsi="宋体" w:cs="宋体"/>
          <w:b/>
          <w:color w:val="auto"/>
          <w:sz w:val="21"/>
          <w:szCs w:val="21"/>
          <w:highlight w:val="none"/>
        </w:rPr>
      </w:pPr>
      <w:r>
        <w:rPr>
          <w:rFonts w:hint="eastAsia" w:ascii="宋体" w:hAnsi="宋体" w:cs="宋体"/>
          <w:color w:val="auto"/>
          <w:sz w:val="21"/>
          <w:szCs w:val="21"/>
          <w:highlight w:val="none"/>
        </w:rPr>
        <w:t>23.3.2.2查询渠道</w:t>
      </w:r>
      <w:r>
        <w:rPr>
          <w:rFonts w:hint="eastAsia" w:ascii="宋体" w:hAnsi="宋体" w:cs="宋体"/>
          <w:b/>
          <w:color w:val="auto"/>
          <w:sz w:val="21"/>
          <w:szCs w:val="21"/>
          <w:highlight w:val="none"/>
        </w:rPr>
        <w:t>：</w:t>
      </w:r>
      <w:r>
        <w:rPr>
          <w:rFonts w:hint="eastAsia" w:ascii="宋体" w:hAnsi="宋体" w:cs="宋体"/>
          <w:color w:val="auto"/>
          <w:sz w:val="21"/>
          <w:szCs w:val="21"/>
          <w:highlight w:val="none"/>
        </w:rPr>
        <w:t>采购代理机构会在接收投标文件截止时间后，登录信用中国网站（www.creditchina.gov.cn）和中国政府采购网（www.ccgp.gov.cn/）查询供应商的信用记录，并将查询结果递交评标委员会。</w:t>
      </w:r>
    </w:p>
    <w:p w14:paraId="6F6D74A8">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23.3.2.3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p>
    <w:p w14:paraId="5521453E">
      <w:pPr>
        <w:pStyle w:val="202"/>
        <w:spacing w:line="440" w:lineRule="exact"/>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23.3.4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p>
    <w:p w14:paraId="786A513C">
      <w:pPr>
        <w:pStyle w:val="202"/>
        <w:spacing w:line="440" w:lineRule="exact"/>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24.评标委员会</w:t>
      </w:r>
    </w:p>
    <w:p w14:paraId="21BB525A">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24.1评标委员会负责具体评标事务，并独立履行下列职责：</w:t>
      </w:r>
    </w:p>
    <w:p w14:paraId="2A52FB5F">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24.1.1审查、评价投标文件是否符合招标文件的商务、技术等实质性要求；</w:t>
      </w:r>
    </w:p>
    <w:p w14:paraId="4C823996">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24.1.2要求投标人对投标文件有关事项作出澄清或者说明；</w:t>
      </w:r>
    </w:p>
    <w:p w14:paraId="3AE813AC">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24.1.3对投标文件进行比较和评价；</w:t>
      </w:r>
    </w:p>
    <w:p w14:paraId="744781B3">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24.1.4确定中标候选人名单，以及根据采购人委托直接确定中标人；</w:t>
      </w:r>
    </w:p>
    <w:p w14:paraId="7647B685">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24.1.5向采购人、采购代理机构或者有关部门报告评标中发现的违法行为。</w:t>
      </w:r>
    </w:p>
    <w:p w14:paraId="38320E51">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24.2评标委员会成员应当履行下列义务：</w:t>
      </w:r>
    </w:p>
    <w:p w14:paraId="735C18F5">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24.2.1遵纪守法，客观、公正、廉洁地履行职责；</w:t>
      </w:r>
    </w:p>
    <w:p w14:paraId="2F365F8C">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24.2.2按照招标文件规定的评标办法和评标标准进行评标，对评审意见承担个人责任；</w:t>
      </w:r>
    </w:p>
    <w:p w14:paraId="53FC511B">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24.2.3对评标过程和结果，以及投标人的商业秘密保密；</w:t>
      </w:r>
    </w:p>
    <w:p w14:paraId="11C04B15">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24.2.4评标委员会根据全体评标成员签字的原始评标记录和评标结果编写评标报告。评标报告应当包括以下内容： </w:t>
      </w:r>
    </w:p>
    <w:p w14:paraId="190D290B">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（一）招标公告刊登的媒体名称、开标日期和地点；</w:t>
      </w:r>
    </w:p>
    <w:p w14:paraId="28EC3841">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（二）投标人名单和评标委员会成员名单；</w:t>
      </w:r>
    </w:p>
    <w:p w14:paraId="0936E45E">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（三）评标方法和标准；</w:t>
      </w:r>
    </w:p>
    <w:p w14:paraId="19E399F5">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（四）开标记录和评标情况及说明，包括无效投标人名单及原因；</w:t>
      </w:r>
    </w:p>
    <w:p w14:paraId="4B95FB22">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（五）评标结果，确定的中标候选人名单或者经采购人委托直接确定的中标人；</w:t>
      </w:r>
    </w:p>
    <w:p w14:paraId="53D02ADB">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（六）其他需要说明的情况，包括评标过程中投标人根据评标委员会要求进行的澄清、说明或者补正，评标委员会成员的更换等。</w:t>
      </w:r>
    </w:p>
    <w:p w14:paraId="7408F5C9">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24.2.5配合相关部门的投诉处理工作；</w:t>
      </w:r>
    </w:p>
    <w:p w14:paraId="16CA253F">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24.2.6配合采购人和采购代理机构答复投标人提出的质疑。</w:t>
      </w:r>
    </w:p>
    <w:p w14:paraId="640393DD">
      <w:pPr>
        <w:pStyle w:val="202"/>
        <w:spacing w:line="440" w:lineRule="exact"/>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25.评标内容的保密</w:t>
      </w:r>
    </w:p>
    <w:p w14:paraId="784C650A">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25.1公开开标后，直到宣布授予中标合同为止，凡属于审查、澄清、评价和比较投标的所有资料，有关授予合同的信息都不应向投标人或与评标无关的其他人泄露。</w:t>
      </w:r>
    </w:p>
    <w:p w14:paraId="25CD3615">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25.2在投标文件的审查、澄清、评价和比较以及授予合同的过程中，投标人对采购人、采购代理机构和评标委员会成员施加影响的任何行为，都将取消其中标资格。</w:t>
      </w:r>
    </w:p>
    <w:p w14:paraId="4CA08A70">
      <w:pPr>
        <w:pStyle w:val="202"/>
        <w:spacing w:line="440" w:lineRule="exact"/>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26.对投标文件初审</w:t>
      </w:r>
    </w:p>
    <w:p w14:paraId="45EBB71D">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26.1评标委员会应当对符合资格的投标人的投标文件进行符合性审查，以确定其是否满足招标文件的实质性要求。</w:t>
      </w:r>
    </w:p>
    <w:p w14:paraId="7EDCB7DC">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投标文件有下列情况之一者评标委员会有权将其拒绝：</w:t>
      </w:r>
    </w:p>
    <w:p w14:paraId="74867B70">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26.1.1投标人的投标文件未按照本须知规定制作的；</w:t>
      </w:r>
    </w:p>
    <w:p w14:paraId="663A7617">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26.1.2未按本须知规定提交资格文件；</w:t>
      </w:r>
    </w:p>
    <w:p w14:paraId="6BD13AAD">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26.1.3与招标文件有重大偏离；</w:t>
      </w:r>
    </w:p>
    <w:p w14:paraId="54C4F562">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26.1.4投标人拒绝修正错误；</w:t>
      </w:r>
    </w:p>
    <w:p w14:paraId="2306983B">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26.1.5投标人的报价是选择性的；</w:t>
      </w:r>
    </w:p>
    <w:p w14:paraId="4F0ACAED">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26.1.6投标人的报价只投了部分内容；</w:t>
      </w:r>
    </w:p>
    <w:p w14:paraId="6C17C87A">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26.1.7投标人的投标文件出现了评标委员会认为不应当雷同的情况；</w:t>
      </w:r>
    </w:p>
    <w:p w14:paraId="6772DD1D">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26.1.8其他被评委会认定无效的情况。</w:t>
      </w:r>
    </w:p>
    <w:p w14:paraId="3C9997D9">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p>
    <w:p w14:paraId="6B633267">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26.3投标文件报价出现前后不一致的，除招标文件另有规定外，按照下列规定修正：</w:t>
      </w:r>
    </w:p>
    <w:p w14:paraId="579179B3">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（一）投标文件中开标一览表（报价表）内容与投标文件中相应内容不一致的，以开标一览表（报价表）为准；</w:t>
      </w:r>
    </w:p>
    <w:p w14:paraId="02F6B19B">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（二）大写金额和小写金额不一致的，以大写金额为准；</w:t>
      </w:r>
    </w:p>
    <w:p w14:paraId="4D083829">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（三）单价金额小数点或者百分比有明显错位的，以开标一览表的总价为准，并修改单价；</w:t>
      </w:r>
    </w:p>
    <w:p w14:paraId="4F5F6738">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（四）总价金额与按单价汇总金额不一致的，以单价金额计算结果为准。</w:t>
      </w:r>
    </w:p>
    <w:p w14:paraId="1A07B686">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p>
    <w:p w14:paraId="34F1EABA">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26.4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3FC6B651">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26.5评标委员会成员对需要共同认定的事项存在争议的，应当按照少数服从多数的原则作出结论。持不同意见的评标委员会成员应当在评标报告上签署不同意见及理由，否则视为同意评标报告。</w:t>
      </w:r>
    </w:p>
    <w:p w14:paraId="454D059C">
      <w:pPr>
        <w:pStyle w:val="202"/>
        <w:spacing w:line="440" w:lineRule="exact"/>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27.投标的澄清</w:t>
      </w:r>
    </w:p>
    <w:p w14:paraId="36DD16C0">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27.1对于投标文件中含义不明确、同类问题表述不一致或者有明显文字和计算错误的内容，评标委员会应当以书面形式要求投标人作出必要的澄清、说明或者补正。</w:t>
      </w:r>
    </w:p>
    <w:p w14:paraId="5ABE9EDD">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27.2投标人的澄清、说明或者补正应当采用书面形式，并加盖</w:t>
      </w:r>
      <w:r>
        <w:rPr>
          <w:rFonts w:hint="eastAsia" w:ascii="宋体" w:hAnsi="宋体" w:cs="宋体"/>
          <w:color w:val="auto"/>
          <w:sz w:val="21"/>
          <w:szCs w:val="21"/>
          <w:highlight w:val="none"/>
          <w:lang w:val="en-US"/>
        </w:rPr>
        <w:t>其单位电子</w:t>
      </w:r>
      <w:r>
        <w:rPr>
          <w:rFonts w:hint="eastAsia" w:ascii="宋体" w:hAnsi="宋体" w:cs="宋体"/>
          <w:color w:val="auto"/>
          <w:sz w:val="21"/>
          <w:szCs w:val="21"/>
          <w:highlight w:val="none"/>
        </w:rPr>
        <w:t>公章。投标人的澄清、说明或者补正不得超出投标文件的范围或者改变投标文件的实质性内容。</w:t>
      </w:r>
    </w:p>
    <w:p w14:paraId="5DE15954">
      <w:pPr>
        <w:pStyle w:val="202"/>
        <w:spacing w:line="440" w:lineRule="exact"/>
        <w:ind w:firstLine="422"/>
        <w:rPr>
          <w:rFonts w:hint="eastAsia" w:ascii="宋体" w:hAnsi="宋体" w:cs="宋体"/>
          <w:color w:val="auto"/>
          <w:sz w:val="21"/>
          <w:szCs w:val="21"/>
          <w:highlight w:val="none"/>
        </w:rPr>
      </w:pPr>
      <w:r>
        <w:rPr>
          <w:rFonts w:hint="eastAsia" w:ascii="宋体" w:hAnsi="宋体" w:cs="宋体"/>
          <w:b/>
          <w:color w:val="auto"/>
          <w:sz w:val="21"/>
          <w:szCs w:val="21"/>
          <w:highlight w:val="none"/>
        </w:rPr>
        <w:t>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color w:val="auto"/>
          <w:sz w:val="21"/>
          <w:szCs w:val="21"/>
          <w:highlight w:val="none"/>
        </w:rPr>
        <w:t>(</w:t>
      </w:r>
      <w:r>
        <w:rPr>
          <w:rFonts w:hint="eastAsia" w:ascii="宋体" w:hAnsi="宋体" w:cs="宋体"/>
          <w:b/>
          <w:color w:val="auto"/>
          <w:sz w:val="21"/>
          <w:szCs w:val="21"/>
          <w:highlight w:val="none"/>
        </w:rPr>
        <w:t>此处规定时间的计算以系统中的倒计时间为准，</w:t>
      </w:r>
      <w:r>
        <w:rPr>
          <w:rFonts w:hint="eastAsia" w:ascii="宋体" w:hAnsi="宋体" w:cs="宋体"/>
          <w:color w:val="auto"/>
          <w:sz w:val="21"/>
          <w:szCs w:val="21"/>
          <w:highlight w:val="none"/>
        </w:rPr>
        <w:t>供应商应随时保持系统在线，如因供应商自身原因未在规定时间内提交澄清确认资料的，导致的不利后果由供应商自行承担。</w:t>
      </w:r>
    </w:p>
    <w:p w14:paraId="292CCB93">
      <w:pPr>
        <w:pStyle w:val="202"/>
        <w:spacing w:line="440" w:lineRule="exact"/>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28.投标无效</w:t>
      </w:r>
    </w:p>
    <w:p w14:paraId="368A9AFF">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28.1投标人存在下列情况之一的，投标无效:</w:t>
      </w:r>
    </w:p>
    <w:p w14:paraId="7E69053F">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w:t>
      </w:r>
      <w:r>
        <w:rPr>
          <w:rFonts w:hint="eastAsia" w:ascii="宋体" w:hAnsi="宋体" w:cs="宋体"/>
          <w:color w:val="auto"/>
          <w:sz w:val="21"/>
          <w:szCs w:val="21"/>
          <w:highlight w:val="none"/>
          <w:lang w:val="en-US"/>
        </w:rPr>
        <w:t>一</w:t>
      </w:r>
      <w:r>
        <w:rPr>
          <w:rFonts w:hint="eastAsia" w:ascii="宋体" w:hAnsi="宋体" w:cs="宋体"/>
          <w:color w:val="auto"/>
          <w:sz w:val="21"/>
          <w:szCs w:val="21"/>
          <w:highlight w:val="none"/>
        </w:rPr>
        <w:t>）投标文件未按招标文件要求签署、盖章的；</w:t>
      </w:r>
    </w:p>
    <w:p w14:paraId="1DFB2F36">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w:t>
      </w:r>
      <w:r>
        <w:rPr>
          <w:rFonts w:hint="eastAsia" w:ascii="宋体" w:hAnsi="宋体" w:cs="宋体"/>
          <w:color w:val="auto"/>
          <w:sz w:val="21"/>
          <w:szCs w:val="21"/>
          <w:highlight w:val="none"/>
          <w:lang w:val="en-US"/>
        </w:rPr>
        <w:t>二</w:t>
      </w:r>
      <w:r>
        <w:rPr>
          <w:rFonts w:hint="eastAsia" w:ascii="宋体" w:hAnsi="宋体" w:cs="宋体"/>
          <w:color w:val="auto"/>
          <w:sz w:val="21"/>
          <w:szCs w:val="21"/>
          <w:highlight w:val="none"/>
        </w:rPr>
        <w:t>）不具备招标文件中规定的资格要求的；</w:t>
      </w:r>
    </w:p>
    <w:p w14:paraId="484EDEB1">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w:t>
      </w:r>
      <w:r>
        <w:rPr>
          <w:rFonts w:hint="eastAsia" w:ascii="宋体" w:hAnsi="宋体" w:cs="宋体"/>
          <w:color w:val="auto"/>
          <w:sz w:val="21"/>
          <w:szCs w:val="21"/>
          <w:highlight w:val="none"/>
          <w:lang w:val="en-US"/>
        </w:rPr>
        <w:t>三</w:t>
      </w:r>
      <w:r>
        <w:rPr>
          <w:rFonts w:hint="eastAsia" w:ascii="宋体" w:hAnsi="宋体" w:cs="宋体"/>
          <w:color w:val="auto"/>
          <w:sz w:val="21"/>
          <w:szCs w:val="21"/>
          <w:highlight w:val="none"/>
        </w:rPr>
        <w:t>）报价超过招标文件中规定的预算金额或者最高限价的；</w:t>
      </w:r>
    </w:p>
    <w:p w14:paraId="14C20F5C">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w:t>
      </w:r>
      <w:r>
        <w:rPr>
          <w:rFonts w:hint="eastAsia" w:ascii="宋体" w:hAnsi="宋体" w:cs="宋体"/>
          <w:color w:val="auto"/>
          <w:sz w:val="21"/>
          <w:szCs w:val="21"/>
          <w:highlight w:val="none"/>
          <w:lang w:val="en-US"/>
        </w:rPr>
        <w:t>四</w:t>
      </w:r>
      <w:r>
        <w:rPr>
          <w:rFonts w:hint="eastAsia" w:ascii="宋体" w:hAnsi="宋体" w:cs="宋体"/>
          <w:color w:val="auto"/>
          <w:sz w:val="21"/>
          <w:szCs w:val="21"/>
          <w:highlight w:val="none"/>
        </w:rPr>
        <w:t>）投标文件含有采购人不能接受的附加条件的；</w:t>
      </w:r>
    </w:p>
    <w:p w14:paraId="73D3F4D7">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（五）法律、法规和招标文件规定的其他无效情形。</w:t>
      </w:r>
    </w:p>
    <w:p w14:paraId="2564D3B1">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28.2投标人应当遵循公平竞争的原则，不得恶意串通，不得妨碍其他投标人的竞争行为，不得损害采购人或者其他投标人的合法权益。</w:t>
      </w:r>
    </w:p>
    <w:p w14:paraId="281A033F">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在评标过程中发现投标人有上述情形的，评标委员会应当认定其投标无效，并书面报告本级财政部门。</w:t>
      </w:r>
    </w:p>
    <w:p w14:paraId="08FB487B">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28.3有下列情形之一的，视为投标人串通投标，其投标无效：</w:t>
      </w:r>
    </w:p>
    <w:p w14:paraId="2B1839D4">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（一）不同投标人的投标文件由同一单位或者个人编制；</w:t>
      </w:r>
    </w:p>
    <w:p w14:paraId="5B6F34C2">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（二）不同投标人委托同一单位或者个人办理投标事宜；</w:t>
      </w:r>
    </w:p>
    <w:p w14:paraId="5447DFE6">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（三）不同投标人的投标文件载明的项目管理成员或者联系人员为同一人；</w:t>
      </w:r>
    </w:p>
    <w:p w14:paraId="64656A32">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（四）不同投标人的投标文件异常一致或者投标报价呈规律性差异；</w:t>
      </w:r>
    </w:p>
    <w:p w14:paraId="21A7F2BB">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（五）不同投标人的投标文件相互混装。</w:t>
      </w:r>
    </w:p>
    <w:p w14:paraId="4317BF5C">
      <w:pPr>
        <w:pStyle w:val="202"/>
        <w:spacing w:line="440" w:lineRule="exact"/>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29.废标</w:t>
      </w:r>
    </w:p>
    <w:p w14:paraId="0114F495">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29.1在招标过程中，出现下列情况之一的，应予废标：</w:t>
      </w:r>
    </w:p>
    <w:p w14:paraId="1BF7A889">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29.1.1符合专业条件的供应商或者对招标文件作实质投标的供应商不足</w:t>
      </w:r>
      <w:r>
        <w:rPr>
          <w:rFonts w:hint="eastAsia" w:ascii="宋体" w:hAnsi="宋体" w:cs="宋体"/>
          <w:color w:val="auto"/>
          <w:sz w:val="21"/>
          <w:szCs w:val="21"/>
          <w:highlight w:val="none"/>
          <w:lang w:val="en-US"/>
        </w:rPr>
        <w:t>三</w:t>
      </w:r>
      <w:r>
        <w:rPr>
          <w:rFonts w:hint="eastAsia" w:ascii="宋体" w:hAnsi="宋体" w:cs="宋体"/>
          <w:color w:val="auto"/>
          <w:sz w:val="21"/>
          <w:szCs w:val="21"/>
          <w:highlight w:val="none"/>
        </w:rPr>
        <w:t>家的；</w:t>
      </w:r>
    </w:p>
    <w:p w14:paraId="0709504A">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29.1.2出现影响采购公正的违法、违规行为的；</w:t>
      </w:r>
    </w:p>
    <w:p w14:paraId="0B59CE90">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29.1.3投标人的报价均超过了采购预算，采购人不能支付的；</w:t>
      </w:r>
    </w:p>
    <w:p w14:paraId="0F561177">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28.1.4因重大变故，采购任务取消的；</w:t>
      </w:r>
    </w:p>
    <w:p w14:paraId="73E8C553">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29.2废标后，采购人和采购代理机构将把废标的理由通知所有投标人。</w:t>
      </w:r>
    </w:p>
    <w:p w14:paraId="43E70776">
      <w:pPr>
        <w:pStyle w:val="202"/>
        <w:spacing w:line="440" w:lineRule="exact"/>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30.投标文件的评价和比较</w:t>
      </w:r>
    </w:p>
    <w:p w14:paraId="1116174E">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30.1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p>
    <w:p w14:paraId="1788D239">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30.2最低的投标报价或最高的折扣比例是中标的重要条件，但不是唯一条件。</w:t>
      </w:r>
      <w:bookmarkStart w:id="31" w:name="_Toc18442"/>
      <w:bookmarkStart w:id="32" w:name="_Toc19501"/>
    </w:p>
    <w:p w14:paraId="76F581BC">
      <w:pPr>
        <w:pStyle w:val="202"/>
        <w:spacing w:line="440" w:lineRule="exact"/>
        <w:ind w:firstLine="422"/>
        <w:rPr>
          <w:rFonts w:hint="eastAsia" w:ascii="宋体" w:hAnsi="宋体" w:cs="宋体"/>
          <w:color w:val="auto"/>
          <w:sz w:val="21"/>
          <w:szCs w:val="21"/>
          <w:highlight w:val="none"/>
        </w:rPr>
      </w:pPr>
      <w:r>
        <w:rPr>
          <w:rFonts w:hint="eastAsia" w:ascii="宋体" w:hAnsi="宋体" w:cs="宋体"/>
          <w:b/>
          <w:color w:val="auto"/>
          <w:sz w:val="21"/>
          <w:szCs w:val="21"/>
          <w:highlight w:val="none"/>
        </w:rPr>
        <w:t>七、授予合同</w:t>
      </w:r>
      <w:bookmarkEnd w:id="31"/>
      <w:bookmarkEnd w:id="32"/>
    </w:p>
    <w:p w14:paraId="437F0FDE">
      <w:pPr>
        <w:pStyle w:val="202"/>
        <w:spacing w:line="440" w:lineRule="exact"/>
        <w:ind w:firstLine="422"/>
        <w:rPr>
          <w:rFonts w:hint="eastAsia" w:ascii="宋体" w:hAnsi="宋体" w:cs="宋体"/>
          <w:color w:val="auto"/>
          <w:sz w:val="21"/>
          <w:szCs w:val="21"/>
          <w:highlight w:val="none"/>
        </w:rPr>
      </w:pPr>
      <w:r>
        <w:rPr>
          <w:rFonts w:hint="eastAsia" w:ascii="宋体" w:hAnsi="宋体" w:cs="宋体"/>
          <w:b/>
          <w:color w:val="auto"/>
          <w:sz w:val="21"/>
          <w:szCs w:val="21"/>
          <w:highlight w:val="none"/>
        </w:rPr>
        <w:t>31.中标单位的确认</w:t>
      </w:r>
    </w:p>
    <w:p w14:paraId="7C909A2D">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31.1评标委员会根据投标人资格审查情况，对投标文件进行评价和比较，按照评标办法和标准进行评标，并按采购人的委托向采购人推荐中标人。</w:t>
      </w:r>
    </w:p>
    <w:p w14:paraId="5277AB14">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31.2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p>
    <w:p w14:paraId="53EB0C7C">
      <w:pPr>
        <w:pStyle w:val="202"/>
        <w:spacing w:line="440" w:lineRule="exact"/>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32.合同授予标准</w:t>
      </w:r>
    </w:p>
    <w:p w14:paraId="7B4AD24D">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采购人将把合同授予其投标文件在实质上响应投标招标文件要求且按本须知规定评选出的投标人。确定为中标的投标人必须具有实施本合同的能力和资源。</w:t>
      </w:r>
    </w:p>
    <w:p w14:paraId="0072CB56">
      <w:pPr>
        <w:pStyle w:val="202"/>
        <w:spacing w:line="440" w:lineRule="exact"/>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33.中标通知书</w:t>
      </w:r>
    </w:p>
    <w:p w14:paraId="4EEF635B">
      <w:pPr>
        <w:pStyle w:val="202"/>
        <w:spacing w:line="440" w:lineRule="exact"/>
        <w:ind w:firstLine="420"/>
        <w:rPr>
          <w:rFonts w:hint="eastAsia" w:ascii="宋体" w:hAnsi="宋体" w:cs="宋体"/>
          <w:b/>
          <w:color w:val="auto"/>
          <w:sz w:val="21"/>
          <w:szCs w:val="21"/>
          <w:highlight w:val="none"/>
        </w:rPr>
      </w:pPr>
      <w:r>
        <w:rPr>
          <w:rFonts w:hint="eastAsia" w:ascii="宋体" w:hAnsi="宋体" w:cs="宋体"/>
          <w:color w:val="auto"/>
          <w:sz w:val="21"/>
          <w:szCs w:val="21"/>
          <w:highlight w:val="none"/>
        </w:rPr>
        <w:t>33.1确定出中标人后，采购代理机构在法定时间内向中标人发出中标通知书。</w:t>
      </w:r>
      <w:r>
        <w:rPr>
          <w:rFonts w:hint="eastAsia" w:ascii="宋体" w:hAnsi="宋体" w:cs="宋体"/>
          <w:b/>
          <w:color w:val="auto"/>
          <w:sz w:val="21"/>
          <w:szCs w:val="21"/>
          <w:highlight w:val="none"/>
        </w:rPr>
        <w:t>请中标人在中标结果公告届满之日起30日内,使用CA证书登录“苏采云”系统及时下载中标通知书。</w:t>
      </w:r>
      <w:r>
        <w:rPr>
          <w:rFonts w:hint="eastAsia" w:ascii="宋体" w:hAnsi="宋体" w:cs="宋体"/>
          <w:color w:val="auto"/>
          <w:sz w:val="21"/>
          <w:szCs w:val="21"/>
          <w:highlight w:val="none"/>
        </w:rPr>
        <w:t>因系统存储空间有限，自中标结果公告届满之日起30日后，“苏采云”系统不再保证提供下载中标通知书服务,因未及时下载而造成的不利后果由中标人自行承担。</w:t>
      </w:r>
    </w:p>
    <w:p w14:paraId="50C36DFB">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33.2中标通知书将成为合同的组成部分，对采购人和中标人具有同等法律效力。</w:t>
      </w:r>
    </w:p>
    <w:p w14:paraId="745F05E8">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34.3中标通知书发出后，采购人不得违法改变中标结果，中标人无正当理由不得放弃中标。</w:t>
      </w:r>
    </w:p>
    <w:p w14:paraId="7C72794F">
      <w:pPr>
        <w:pStyle w:val="202"/>
        <w:spacing w:line="440" w:lineRule="exact"/>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34.合同的签订</w:t>
      </w:r>
    </w:p>
    <w:p w14:paraId="4EA4B86B">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34.1 按照《关于做好政府采购支持企业发展有关事项的通知》（苏财购〔2020〕52号）及</w:t>
      </w:r>
      <w:r>
        <w:rPr>
          <w:rFonts w:hint="eastAsia" w:ascii="宋体" w:hAnsi="宋体" w:cs="宋体"/>
          <w:color w:val="auto"/>
          <w:sz w:val="21"/>
          <w:highlight w:val="none"/>
        </w:rPr>
        <w:t>《关于印发&lt;苏州市政府采购促进中小企业发展实施意见&gt;的通知》（苏财购〔2022〕16号）</w:t>
      </w:r>
      <w:r>
        <w:rPr>
          <w:rFonts w:hint="eastAsia" w:ascii="宋体" w:hAnsi="宋体" w:cs="宋体"/>
          <w:color w:val="auto"/>
          <w:sz w:val="21"/>
          <w:szCs w:val="21"/>
          <w:highlight w:val="none"/>
        </w:rPr>
        <w:t>文件精神，采购人与中标人原则上应当在中标通知书发出之日起十五日内，按照招标文件及投标文件确定的事项签订政府采购合同。</w:t>
      </w:r>
    </w:p>
    <w:p w14:paraId="2043D04B">
      <w:pPr>
        <w:pStyle w:val="202"/>
        <w:spacing w:line="440" w:lineRule="exact"/>
        <w:ind w:firstLine="420"/>
        <w:rPr>
          <w:rFonts w:hint="eastAsia" w:ascii="宋体" w:hAnsi="宋体" w:cs="宋体"/>
          <w:color w:val="auto"/>
          <w:sz w:val="21"/>
          <w:szCs w:val="21"/>
          <w:highlight w:val="none"/>
          <w:lang w:val="en-US"/>
        </w:rPr>
      </w:pPr>
      <w:r>
        <w:rPr>
          <w:rFonts w:hint="eastAsia" w:ascii="宋体" w:hAnsi="宋体" w:cs="宋体"/>
          <w:color w:val="auto"/>
          <w:sz w:val="21"/>
          <w:szCs w:val="21"/>
          <w:highlight w:val="none"/>
        </w:rPr>
        <w:t xml:space="preserve">34.2 </w:t>
      </w:r>
      <w:r>
        <w:rPr>
          <w:rFonts w:hint="eastAsia" w:ascii="宋体" w:hAnsi="宋体" w:cs="宋体"/>
          <w:color w:val="auto"/>
          <w:sz w:val="21"/>
          <w:szCs w:val="21"/>
          <w:highlight w:val="none"/>
          <w:lang w:val="en-US"/>
        </w:rPr>
        <w:t>采购人与中标人所签订的合同不得对招标文件确定的事项和中标人投标文件作实质性修改，采购人不得向中标人提出任何不合理的要求作为签订合同的条件。</w:t>
      </w:r>
    </w:p>
    <w:p w14:paraId="649A848B">
      <w:pPr>
        <w:pStyle w:val="202"/>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34.3招标文件、中标人的投标文件及招标过程中有关澄清、承诺文件均应作为合同附件。</w:t>
      </w:r>
    </w:p>
    <w:p w14:paraId="16DBA449">
      <w:pPr>
        <w:pStyle w:val="202"/>
        <w:spacing w:line="440" w:lineRule="exact"/>
        <w:ind w:firstLine="420"/>
        <w:rPr>
          <w:rFonts w:hint="eastAsia" w:ascii="宋体" w:hAnsi="宋体" w:cs="宋体"/>
          <w:b/>
          <w:color w:val="auto"/>
          <w:sz w:val="21"/>
          <w:szCs w:val="21"/>
          <w:highlight w:val="none"/>
        </w:rPr>
      </w:pPr>
      <w:r>
        <w:rPr>
          <w:rFonts w:hint="eastAsia" w:ascii="宋体" w:hAnsi="宋体" w:cs="宋体"/>
          <w:color w:val="auto"/>
          <w:sz w:val="21"/>
          <w:szCs w:val="21"/>
          <w:highlight w:val="none"/>
        </w:rPr>
        <w:t>34.4依据《政府采购促进中小企业发展管理办法》（财库〔2020〕46号）规定，依据本办法规定享受扶持政策获得政府采购合同的，小微企业不得将合同分包给大中型企业，中型企业不得将合同分包给大型企业。</w:t>
      </w:r>
    </w:p>
    <w:p w14:paraId="033A4B8E">
      <w:pPr>
        <w:adjustRightInd w:val="0"/>
        <w:snapToGrid w:val="0"/>
        <w:spacing w:line="44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34.5政府采购合同履行中，采购人需追加与合同标的相同货物、工程或者服务的，在不改变合同其他条款的前提下，可以与中标人协商签订补充合同，但所有补充合同的采购金额不得超过原合同采购金额的10%。</w:t>
      </w:r>
    </w:p>
    <w:p w14:paraId="6E71418D">
      <w:pPr>
        <w:pStyle w:val="202"/>
        <w:spacing w:line="360" w:lineRule="auto"/>
        <w:ind w:firstLine="422"/>
        <w:rPr>
          <w:rFonts w:hint="eastAsia" w:ascii="宋体" w:hAnsi="宋体" w:cs="宋体"/>
          <w:color w:val="auto"/>
          <w:sz w:val="21"/>
          <w:szCs w:val="21"/>
          <w:highlight w:val="none"/>
        </w:rPr>
      </w:pPr>
      <w:r>
        <w:rPr>
          <w:rFonts w:hint="eastAsia" w:ascii="宋体" w:hAnsi="宋体" w:cs="宋体"/>
          <w:b/>
          <w:color w:val="auto"/>
          <w:sz w:val="21"/>
          <w:szCs w:val="21"/>
          <w:highlight w:val="none"/>
        </w:rPr>
        <w:t>八、其他事项</w:t>
      </w:r>
    </w:p>
    <w:p w14:paraId="09ECBC8F">
      <w:pPr>
        <w:pStyle w:val="202"/>
        <w:spacing w:line="360" w:lineRule="auto"/>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35.代理服务费：</w:t>
      </w:r>
    </w:p>
    <w:p w14:paraId="5A0A6794">
      <w:pPr>
        <w:spacing w:line="400" w:lineRule="exact"/>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35.1收费标准：按差额定率累进法计算收取，中标单位在领取中标通知书时向采购代理机构一次性付清。预算金额100万以下费率为预算金额的1.5%；预算金额100万（含）-500万费率为预算金额的1.1%；预算金额500万（含）-1000万费率为预算金额的0.8%。</w:t>
      </w:r>
    </w:p>
    <w:p w14:paraId="5C348A5B">
      <w:pPr>
        <w:spacing w:line="400" w:lineRule="exact"/>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35.2缴纳账户：</w:t>
      </w:r>
    </w:p>
    <w:p w14:paraId="66ACACFB">
      <w:pPr>
        <w:spacing w:line="400" w:lineRule="exact"/>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账  户：苏州鼎力招投标咨询服务有限公司</w:t>
      </w:r>
    </w:p>
    <w:p w14:paraId="097516EB">
      <w:pPr>
        <w:spacing w:line="400" w:lineRule="exact"/>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开户行：中国建设银行股份有限公司苏州长三角一体化示范区分行营业部</w:t>
      </w:r>
    </w:p>
    <w:p w14:paraId="6BFCE0E7">
      <w:pPr>
        <w:spacing w:line="400" w:lineRule="exact"/>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账  号：32250199763600000937</w:t>
      </w:r>
      <w:r>
        <w:rPr>
          <w:rFonts w:ascii="宋体" w:hAnsi="宋体" w:cs="宋体"/>
          <w:bCs/>
          <w:color w:val="auto"/>
          <w:szCs w:val="21"/>
          <w:highlight w:val="none"/>
        </w:rPr>
        <w:t xml:space="preserve"> </w:t>
      </w:r>
    </w:p>
    <w:p w14:paraId="5F4CEC36">
      <w:pPr>
        <w:pStyle w:val="202"/>
        <w:spacing w:line="360" w:lineRule="auto"/>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36.有关监督部门将对招投标全过程进行监督。</w:t>
      </w:r>
    </w:p>
    <w:p w14:paraId="250EBBD8">
      <w:pPr>
        <w:spacing w:line="440" w:lineRule="exact"/>
        <w:ind w:firstLine="422"/>
        <w:rPr>
          <w:rFonts w:hint="eastAsia" w:ascii="宋体" w:hAnsi="宋体" w:cs="宋体"/>
          <w:color w:val="auto"/>
          <w:szCs w:val="21"/>
          <w:highlight w:val="none"/>
        </w:rPr>
      </w:pPr>
      <w:r>
        <w:rPr>
          <w:rFonts w:hint="eastAsia" w:ascii="宋体" w:hAnsi="宋体" w:cs="宋体"/>
          <w:b/>
          <w:color w:val="auto"/>
          <w:szCs w:val="21"/>
          <w:highlight w:val="none"/>
        </w:rPr>
        <w:t>37.未尽事宜：</w:t>
      </w:r>
      <w:r>
        <w:rPr>
          <w:rFonts w:hint="eastAsia" w:ascii="宋体" w:hAnsi="宋体" w:cs="宋体"/>
          <w:color w:val="auto"/>
          <w:szCs w:val="21"/>
          <w:highlight w:val="none"/>
        </w:rPr>
        <w:t>按《中华人民共和国政府采购法》及其他有关的法律法规的规定执行</w:t>
      </w:r>
      <w:r>
        <w:rPr>
          <w:rFonts w:hint="eastAsia" w:ascii="宋体" w:hAnsi="宋体" w:cs="宋体"/>
          <w:b/>
          <w:bCs/>
          <w:color w:val="auto"/>
          <w:highlight w:val="none"/>
        </w:rPr>
        <w:t>。</w:t>
      </w:r>
    </w:p>
    <w:p w14:paraId="41491A58">
      <w:pPr>
        <w:spacing w:line="440" w:lineRule="exact"/>
        <w:ind w:firstLine="420"/>
        <w:rPr>
          <w:rFonts w:hint="eastAsia" w:ascii="宋体" w:hAnsi="宋体" w:cs="宋体"/>
          <w:color w:val="auto"/>
          <w:szCs w:val="21"/>
          <w:highlight w:val="none"/>
        </w:rPr>
      </w:pPr>
    </w:p>
    <w:p w14:paraId="2C8489BF">
      <w:pPr>
        <w:spacing w:line="440" w:lineRule="exact"/>
        <w:ind w:firstLine="420"/>
        <w:rPr>
          <w:rFonts w:hint="eastAsia" w:ascii="宋体" w:hAnsi="宋体" w:cs="宋体"/>
          <w:color w:val="auto"/>
          <w:szCs w:val="21"/>
          <w:highlight w:val="none"/>
        </w:rPr>
      </w:pPr>
    </w:p>
    <w:p w14:paraId="73A52DD0">
      <w:pPr>
        <w:pStyle w:val="39"/>
        <w:spacing w:after="312"/>
        <w:outlineLvl w:val="0"/>
        <w:rPr>
          <w:rFonts w:ascii="Times New Roman" w:hAnsi="Times New Roman"/>
          <w:color w:val="auto"/>
          <w:sz w:val="44"/>
          <w:szCs w:val="44"/>
          <w:highlight w:val="none"/>
          <w:lang w:val="zh-CN"/>
        </w:rPr>
      </w:pPr>
      <w:r>
        <w:rPr>
          <w:rFonts w:ascii="Times New Roman" w:hAnsi="Times New Roman"/>
          <w:color w:val="auto"/>
          <w:sz w:val="44"/>
          <w:szCs w:val="44"/>
          <w:highlight w:val="none"/>
          <w:lang w:val="zh-CN"/>
        </w:rPr>
        <w:br w:type="page" w:clear="all"/>
      </w:r>
      <w:r>
        <w:rPr>
          <w:rFonts w:ascii="Times New Roman" w:hAnsi="Times New Roman"/>
          <w:color w:val="auto"/>
          <w:sz w:val="44"/>
          <w:szCs w:val="44"/>
          <w:highlight w:val="none"/>
          <w:lang w:val="zh-CN"/>
        </w:rPr>
        <w:t>第</w:t>
      </w:r>
      <w:r>
        <w:rPr>
          <w:rFonts w:ascii="Times New Roman" w:hAnsi="Times New Roman"/>
          <w:color w:val="auto"/>
          <w:sz w:val="44"/>
          <w:szCs w:val="44"/>
          <w:highlight w:val="none"/>
        </w:rPr>
        <w:t>三</w:t>
      </w:r>
      <w:r>
        <w:rPr>
          <w:rFonts w:ascii="Times New Roman" w:hAnsi="Times New Roman"/>
          <w:color w:val="auto"/>
          <w:sz w:val="44"/>
          <w:szCs w:val="44"/>
          <w:highlight w:val="none"/>
          <w:lang w:val="zh-CN"/>
        </w:rPr>
        <w:t>章 响应文件格式</w:t>
      </w:r>
      <w:bookmarkEnd w:id="13"/>
      <w:bookmarkEnd w:id="14"/>
      <w:bookmarkEnd w:id="15"/>
      <w:bookmarkEnd w:id="16"/>
    </w:p>
    <w:p w14:paraId="22DB8511">
      <w:pPr>
        <w:spacing w:line="360" w:lineRule="auto"/>
        <w:rPr>
          <w:b/>
          <w:bCs/>
          <w:color w:val="auto"/>
          <w:szCs w:val="21"/>
          <w:highlight w:val="none"/>
          <w:lang w:val="zh-CN"/>
        </w:rPr>
      </w:pPr>
      <w:bookmarkStart w:id="33" w:name="_Toc61514584"/>
      <w:bookmarkStart w:id="34" w:name="_Toc22628"/>
      <w:r>
        <w:rPr>
          <w:b/>
          <w:bCs/>
          <w:color w:val="auto"/>
          <w:szCs w:val="21"/>
          <w:highlight w:val="none"/>
          <w:lang w:val="zh-CN"/>
        </w:rPr>
        <w:t>说明：</w:t>
      </w:r>
    </w:p>
    <w:p w14:paraId="5A8CA46E">
      <w:pPr>
        <w:spacing w:line="360" w:lineRule="auto"/>
        <w:ind w:firstLine="464"/>
        <w:rPr>
          <w:b/>
          <w:bCs/>
          <w:color w:val="auto"/>
          <w:szCs w:val="21"/>
          <w:highlight w:val="none"/>
        </w:rPr>
      </w:pPr>
      <w:r>
        <w:rPr>
          <w:b/>
          <w:bCs/>
          <w:color w:val="auto"/>
          <w:szCs w:val="21"/>
          <w:highlight w:val="none"/>
          <w:lang w:val="zh-CN"/>
        </w:rPr>
        <w:t>对本章所有的响应文件格式 ，响应人可根据自身情况进行补充和修改，但补充和修改不得造成与本格式内容有实质性的违背。</w:t>
      </w:r>
    </w:p>
    <w:p w14:paraId="608D0632">
      <w:pPr>
        <w:spacing w:line="400" w:lineRule="exact"/>
        <w:jc w:val="left"/>
        <w:rPr>
          <w:b/>
          <w:bCs/>
          <w:color w:val="auto"/>
          <w:sz w:val="32"/>
          <w:highlight w:val="none"/>
        </w:rPr>
      </w:pPr>
    </w:p>
    <w:p w14:paraId="1D339E22">
      <w:pPr>
        <w:pStyle w:val="21"/>
        <w:outlineLvl w:val="1"/>
        <w:rPr>
          <w:rFonts w:ascii="Times New Roman" w:hAnsi="Times New Roman"/>
          <w:b/>
          <w:bCs/>
          <w:color w:val="auto"/>
          <w:szCs w:val="21"/>
          <w:highlight w:val="none"/>
        </w:rPr>
      </w:pPr>
      <w:bookmarkStart w:id="35" w:name="_Toc25589"/>
      <w:bookmarkStart w:id="36" w:name="_Toc10739"/>
      <w:r>
        <w:rPr>
          <w:rFonts w:ascii="Times New Roman" w:hAnsi="Times New Roman"/>
          <w:b/>
          <w:bCs/>
          <w:color w:val="auto"/>
          <w:szCs w:val="21"/>
          <w:highlight w:val="none"/>
        </w:rPr>
        <w:br w:type="page" w:clear="all"/>
      </w:r>
      <w:r>
        <w:rPr>
          <w:rFonts w:ascii="Times New Roman" w:hAnsi="Times New Roman"/>
          <w:b/>
          <w:bCs/>
          <w:color w:val="auto"/>
          <w:szCs w:val="21"/>
          <w:highlight w:val="none"/>
        </w:rPr>
        <w:t>格式1：授权委托书</w:t>
      </w:r>
      <w:bookmarkEnd w:id="35"/>
      <w:bookmarkEnd w:id="36"/>
    </w:p>
    <w:p w14:paraId="60463C64">
      <w:pPr>
        <w:spacing w:line="360" w:lineRule="auto"/>
        <w:jc w:val="center"/>
        <w:rPr>
          <w:color w:val="auto"/>
          <w:szCs w:val="21"/>
          <w:highlight w:val="none"/>
        </w:rPr>
      </w:pPr>
      <w:r>
        <w:rPr>
          <w:b/>
          <w:bCs/>
          <w:color w:val="auto"/>
          <w:szCs w:val="21"/>
          <w:highlight w:val="none"/>
        </w:rPr>
        <w:t>授权委托书</w:t>
      </w:r>
    </w:p>
    <w:p w14:paraId="0187B175">
      <w:pPr>
        <w:spacing w:line="520" w:lineRule="exact"/>
        <w:ind w:firstLine="420"/>
        <w:jc w:val="left"/>
        <w:rPr>
          <w:color w:val="auto"/>
          <w:szCs w:val="21"/>
          <w:highlight w:val="none"/>
        </w:rPr>
      </w:pPr>
      <w:r>
        <w:rPr>
          <w:color w:val="auto"/>
          <w:szCs w:val="21"/>
          <w:highlight w:val="none"/>
        </w:rPr>
        <w:t>本授权委托书声明：  我</w:t>
      </w:r>
      <w:r>
        <w:rPr>
          <w:color w:val="auto"/>
          <w:szCs w:val="21"/>
          <w:highlight w:val="none"/>
          <w:u w:val="single"/>
        </w:rPr>
        <w:t xml:space="preserve">           </w:t>
      </w:r>
      <w:r>
        <w:rPr>
          <w:color w:val="auto"/>
          <w:szCs w:val="21"/>
          <w:highlight w:val="none"/>
        </w:rPr>
        <w:t>（姓名）系</w:t>
      </w:r>
      <w:r>
        <w:rPr>
          <w:color w:val="auto"/>
          <w:szCs w:val="21"/>
          <w:highlight w:val="none"/>
          <w:u w:val="single"/>
        </w:rPr>
        <w:t xml:space="preserve">     （供应商名称）  </w:t>
      </w:r>
      <w:r>
        <w:rPr>
          <w:b/>
          <w:i/>
          <w:color w:val="auto"/>
          <w:szCs w:val="21"/>
          <w:highlight w:val="none"/>
          <w:u w:val="single"/>
        </w:rPr>
        <w:t xml:space="preserve">  </w:t>
      </w:r>
      <w:r>
        <w:rPr>
          <w:color w:val="auto"/>
          <w:szCs w:val="21"/>
          <w:highlight w:val="none"/>
        </w:rPr>
        <w:t>的法定代表人（负责人），现授权委托</w:t>
      </w:r>
      <w:r>
        <w:rPr>
          <w:color w:val="auto"/>
          <w:szCs w:val="21"/>
          <w:highlight w:val="none"/>
          <w:u w:val="single"/>
        </w:rPr>
        <w:t xml:space="preserve">        </w:t>
      </w:r>
      <w:r>
        <w:rPr>
          <w:color w:val="auto"/>
          <w:szCs w:val="21"/>
          <w:highlight w:val="none"/>
        </w:rPr>
        <w:t>（姓名）为我公司授权代表（即代理人），以本公司的名义参加</w:t>
      </w:r>
      <w:r>
        <w:rPr>
          <w:color w:val="auto"/>
          <w:szCs w:val="21"/>
          <w:highlight w:val="none"/>
          <w:u w:val="single"/>
        </w:rPr>
        <w:t xml:space="preserve"> </w:t>
      </w:r>
      <w:r>
        <w:rPr>
          <w:rFonts w:hint="eastAsia"/>
          <w:color w:val="auto"/>
          <w:szCs w:val="21"/>
          <w:highlight w:val="none"/>
          <w:u w:val="single"/>
        </w:rPr>
        <w:t>苏州鼎力招投标咨询服务有限公司</w:t>
      </w:r>
      <w:r>
        <w:rPr>
          <w:color w:val="auto"/>
          <w:szCs w:val="21"/>
          <w:highlight w:val="none"/>
          <w:u w:val="single"/>
        </w:rPr>
        <w:t xml:space="preserve"> </w:t>
      </w:r>
      <w:r>
        <w:rPr>
          <w:color w:val="auto"/>
          <w:szCs w:val="21"/>
          <w:highlight w:val="none"/>
        </w:rPr>
        <w:t>组织实施的编号为</w:t>
      </w:r>
      <w:r>
        <w:rPr>
          <w:color w:val="auto"/>
          <w:szCs w:val="21"/>
          <w:highlight w:val="none"/>
          <w:u w:val="single"/>
        </w:rPr>
        <w:t xml:space="preserve">           </w:t>
      </w:r>
      <w:r>
        <w:rPr>
          <w:color w:val="auto"/>
          <w:szCs w:val="21"/>
          <w:highlight w:val="none"/>
        </w:rPr>
        <w:t>号的</w:t>
      </w:r>
      <w:r>
        <w:rPr>
          <w:rFonts w:hint="eastAsia"/>
          <w:color w:val="auto"/>
          <w:szCs w:val="21"/>
          <w:highlight w:val="none"/>
        </w:rPr>
        <w:t>采购</w:t>
      </w:r>
      <w:r>
        <w:rPr>
          <w:color w:val="auto"/>
          <w:szCs w:val="21"/>
          <w:highlight w:val="none"/>
        </w:rPr>
        <w:t>活动。授权代表在</w:t>
      </w:r>
      <w:r>
        <w:rPr>
          <w:rFonts w:hint="eastAsia"/>
          <w:color w:val="auto"/>
          <w:szCs w:val="21"/>
          <w:highlight w:val="none"/>
        </w:rPr>
        <w:t>采购</w:t>
      </w:r>
      <w:r>
        <w:rPr>
          <w:color w:val="auto"/>
          <w:szCs w:val="21"/>
          <w:highlight w:val="none"/>
        </w:rPr>
        <w:t>活动过程中所签署的一切文件和处理与这有关的一切事务，我均予以承认。</w:t>
      </w:r>
    </w:p>
    <w:p w14:paraId="4DAF82E9">
      <w:pPr>
        <w:spacing w:line="520" w:lineRule="exact"/>
        <w:ind w:firstLine="420"/>
        <w:jc w:val="left"/>
        <w:rPr>
          <w:color w:val="auto"/>
          <w:szCs w:val="21"/>
          <w:highlight w:val="none"/>
        </w:rPr>
      </w:pPr>
      <w:r>
        <w:rPr>
          <w:color w:val="auto"/>
          <w:szCs w:val="21"/>
          <w:highlight w:val="none"/>
        </w:rPr>
        <w:t>授权代表在授权委托书有效期内签署的所有文件不因授权委托的撤销而失效，除非有撤销授权委托的书面通知，本授权委托书自</w:t>
      </w:r>
      <w:r>
        <w:rPr>
          <w:rFonts w:hint="eastAsia"/>
          <w:color w:val="auto"/>
          <w:szCs w:val="21"/>
          <w:highlight w:val="none"/>
        </w:rPr>
        <w:t>采购</w:t>
      </w:r>
      <w:r>
        <w:rPr>
          <w:color w:val="auto"/>
          <w:szCs w:val="21"/>
          <w:highlight w:val="none"/>
        </w:rPr>
        <w:t>活动开始至合同履行完毕止。</w:t>
      </w:r>
    </w:p>
    <w:p w14:paraId="613E0155">
      <w:pPr>
        <w:spacing w:line="520" w:lineRule="exact"/>
        <w:ind w:firstLine="420"/>
        <w:jc w:val="left"/>
        <w:rPr>
          <w:color w:val="auto"/>
          <w:szCs w:val="21"/>
          <w:highlight w:val="none"/>
        </w:rPr>
      </w:pPr>
      <w:r>
        <w:rPr>
          <w:color w:val="auto"/>
          <w:szCs w:val="21"/>
          <w:highlight w:val="none"/>
        </w:rPr>
        <w:t>授权代表无转委托权。特此委托。</w:t>
      </w:r>
    </w:p>
    <w:p w14:paraId="22C5F345">
      <w:pPr>
        <w:spacing w:line="520" w:lineRule="exact"/>
        <w:ind w:firstLine="840"/>
        <w:jc w:val="left"/>
        <w:rPr>
          <w:color w:val="auto"/>
          <w:szCs w:val="21"/>
          <w:highlight w:val="none"/>
        </w:rPr>
      </w:pPr>
      <w:r>
        <w:rPr>
          <w:color w:val="auto"/>
          <w:szCs w:val="21"/>
          <w:highlight w:val="none"/>
        </w:rPr>
        <w:t xml:space="preserve">    </w:t>
      </w:r>
    </w:p>
    <w:p w14:paraId="1F126C4B">
      <w:pPr>
        <w:spacing w:line="520" w:lineRule="exact"/>
        <w:ind w:firstLine="840"/>
        <w:jc w:val="left"/>
        <w:rPr>
          <w:color w:val="auto"/>
          <w:szCs w:val="21"/>
          <w:highlight w:val="none"/>
        </w:rPr>
      </w:pPr>
      <w:r>
        <w:rPr>
          <w:color w:val="auto"/>
          <w:szCs w:val="21"/>
          <w:highlight w:val="none"/>
        </w:rPr>
        <w:t>供应商：（公章）</w:t>
      </w:r>
    </w:p>
    <w:p w14:paraId="20D14500">
      <w:pPr>
        <w:spacing w:line="520" w:lineRule="exact"/>
        <w:ind w:firstLine="840"/>
        <w:jc w:val="left"/>
        <w:rPr>
          <w:color w:val="auto"/>
          <w:szCs w:val="21"/>
          <w:highlight w:val="none"/>
        </w:rPr>
      </w:pPr>
      <w:r>
        <w:rPr>
          <w:color w:val="auto"/>
          <w:szCs w:val="21"/>
          <w:highlight w:val="none"/>
        </w:rPr>
        <w:t>法定代表人（负责人）：（签字或盖章）</w:t>
      </w:r>
    </w:p>
    <w:p w14:paraId="1750DCFB">
      <w:pPr>
        <w:spacing w:line="520" w:lineRule="exact"/>
        <w:ind w:firstLine="840"/>
        <w:jc w:val="left"/>
        <w:rPr>
          <w:color w:val="auto"/>
          <w:szCs w:val="21"/>
          <w:highlight w:val="none"/>
        </w:rPr>
      </w:pPr>
      <w:r>
        <w:rPr>
          <w:color w:val="auto"/>
          <w:szCs w:val="21"/>
          <w:highlight w:val="none"/>
        </w:rPr>
        <w:t>代理人：（签字或盖章）</w:t>
      </w:r>
    </w:p>
    <w:p w14:paraId="143A43B5">
      <w:pPr>
        <w:spacing w:line="520" w:lineRule="exact"/>
        <w:ind w:firstLine="840"/>
        <w:jc w:val="left"/>
        <w:rPr>
          <w:color w:val="auto"/>
          <w:szCs w:val="21"/>
          <w:highlight w:val="none"/>
        </w:rPr>
      </w:pPr>
      <w:r>
        <w:rPr>
          <w:color w:val="auto"/>
          <w:szCs w:val="21"/>
          <w:highlight w:val="none"/>
        </w:rPr>
        <w:t>日期：        年　　  月　　  日</w:t>
      </w:r>
    </w:p>
    <w:p w14:paraId="1A4424EA">
      <w:pPr>
        <w:jc w:val="left"/>
        <w:rPr>
          <w:b/>
          <w:color w:val="auto"/>
          <w:highlight w:val="none"/>
        </w:rPr>
      </w:pPr>
    </w:p>
    <w:p w14:paraId="4348D44A">
      <w:pPr>
        <w:spacing w:line="360" w:lineRule="auto"/>
        <w:ind w:firstLine="3896"/>
        <w:jc w:val="left"/>
        <w:rPr>
          <w:b/>
          <w:bCs/>
          <w:color w:val="auto"/>
          <w:sz w:val="24"/>
          <w:highlight w:val="none"/>
        </w:rPr>
      </w:pPr>
    </w:p>
    <w:p w14:paraId="5C04E5F6">
      <w:pPr>
        <w:spacing w:line="360" w:lineRule="auto"/>
        <w:jc w:val="left"/>
        <w:rPr>
          <w:b/>
          <w:bCs/>
          <w:color w:val="auto"/>
          <w:sz w:val="24"/>
          <w:highlight w:val="none"/>
        </w:rPr>
      </w:pPr>
    </w:p>
    <w:p w14:paraId="42F6E85B">
      <w:pPr>
        <w:pStyle w:val="243"/>
        <w:spacing w:line="400" w:lineRule="exact"/>
        <w:rPr>
          <w:rFonts w:hint="eastAsia" w:hAnsi="宋体" w:cs="宋体"/>
          <w:b/>
          <w:color w:val="auto"/>
          <w:sz w:val="21"/>
          <w:szCs w:val="21"/>
          <w:highlight w:val="none"/>
        </w:rPr>
      </w:pPr>
      <w:r>
        <w:rPr>
          <w:rFonts w:ascii="Times New Roman" w:hAnsi="Times New Roman"/>
          <w:color w:val="auto"/>
          <w:highlight w:val="none"/>
        </w:rPr>
        <w:br w:type="page" w:clear="all"/>
      </w:r>
      <w:bookmarkStart w:id="37" w:name="_Toc22821"/>
      <w:bookmarkStart w:id="38" w:name="_Toc7536"/>
      <w:r>
        <w:rPr>
          <w:rFonts w:ascii="Times New Roman" w:hAnsi="Times New Roman"/>
          <w:b/>
          <w:bCs/>
          <w:color w:val="auto"/>
          <w:szCs w:val="21"/>
          <w:highlight w:val="none"/>
        </w:rPr>
        <w:t>格式2：</w:t>
      </w:r>
      <w:bookmarkEnd w:id="37"/>
      <w:bookmarkEnd w:id="38"/>
      <w:r>
        <w:rPr>
          <w:rFonts w:hint="eastAsia" w:hAnsi="宋体" w:cs="宋体"/>
          <w:b/>
          <w:color w:val="auto"/>
          <w:sz w:val="21"/>
          <w:szCs w:val="21"/>
          <w:highlight w:val="none"/>
        </w:rPr>
        <w:t>投标函</w:t>
      </w:r>
    </w:p>
    <w:p w14:paraId="153CCAAC">
      <w:pPr>
        <w:pStyle w:val="243"/>
        <w:spacing w:line="400" w:lineRule="exact"/>
        <w:jc w:val="center"/>
        <w:rPr>
          <w:rFonts w:hint="eastAsia" w:hAnsi="宋体" w:cs="宋体"/>
          <w:b/>
          <w:color w:val="auto"/>
          <w:sz w:val="24"/>
          <w:szCs w:val="24"/>
          <w:highlight w:val="none"/>
        </w:rPr>
      </w:pPr>
      <w:r>
        <w:rPr>
          <w:rFonts w:hint="eastAsia" w:hAnsi="宋体" w:cs="宋体"/>
          <w:b/>
          <w:color w:val="auto"/>
          <w:sz w:val="24"/>
          <w:szCs w:val="24"/>
          <w:highlight w:val="none"/>
        </w:rPr>
        <w:t>投标函</w:t>
      </w:r>
    </w:p>
    <w:p w14:paraId="5837D344">
      <w:pPr>
        <w:pStyle w:val="243"/>
        <w:spacing w:line="400" w:lineRule="exact"/>
        <w:jc w:val="center"/>
        <w:rPr>
          <w:rFonts w:hint="eastAsia" w:hAnsi="宋体" w:cs="宋体"/>
          <w:b/>
          <w:color w:val="auto"/>
          <w:sz w:val="24"/>
          <w:szCs w:val="24"/>
          <w:highlight w:val="none"/>
        </w:rPr>
      </w:pPr>
    </w:p>
    <w:p w14:paraId="70B0CD0A">
      <w:pPr>
        <w:autoSpaceDE w:val="0"/>
        <w:autoSpaceDN w:val="0"/>
        <w:adjustRightInd w:val="0"/>
        <w:snapToGrid w:val="0"/>
        <w:spacing w:line="400" w:lineRule="exact"/>
        <w:rPr>
          <w:rFonts w:hint="eastAsia" w:ascii="宋体" w:hAnsi="宋体" w:cs="宋体"/>
          <w:color w:val="auto"/>
          <w:szCs w:val="21"/>
          <w:highlight w:val="none"/>
        </w:rPr>
      </w:pPr>
      <w:r>
        <w:rPr>
          <w:rFonts w:hint="eastAsia" w:ascii="宋体" w:hAnsi="宋体" w:cs="宋体"/>
          <w:color w:val="auto"/>
          <w:szCs w:val="21"/>
          <w:highlight w:val="none"/>
          <w:u w:val="single"/>
        </w:rPr>
        <w:t xml:space="preserve">苏州鼎力招投标咨询服务有限公司 </w:t>
      </w:r>
      <w:r>
        <w:rPr>
          <w:rFonts w:hint="eastAsia" w:ascii="宋体" w:hAnsi="宋体" w:cs="宋体"/>
          <w:color w:val="auto"/>
          <w:szCs w:val="21"/>
          <w:highlight w:val="none"/>
          <w:lang w:val="zh-CN"/>
        </w:rPr>
        <w:t>：</w:t>
      </w:r>
    </w:p>
    <w:p w14:paraId="49B6E3B5">
      <w:pPr>
        <w:autoSpaceDE w:val="0"/>
        <w:autoSpaceDN w:val="0"/>
        <w:adjustRightInd w:val="0"/>
        <w:snapToGrid w:val="0"/>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lang w:val="zh-CN"/>
        </w:rPr>
        <w:t>我们收到贵</w:t>
      </w:r>
      <w:r>
        <w:rPr>
          <w:rFonts w:hint="eastAsia" w:ascii="宋体" w:hAnsi="宋体" w:cs="宋体"/>
          <w:color w:val="auto"/>
          <w:szCs w:val="21"/>
          <w:highlight w:val="none"/>
        </w:rPr>
        <w:t>方</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号招标文件，经仔细阅读和研究，我们决定参加投标，</w:t>
      </w:r>
      <w:r>
        <w:rPr>
          <w:rFonts w:hint="eastAsia" w:ascii="宋体" w:hAnsi="宋体" w:cs="宋体"/>
          <w:color w:val="auto"/>
          <w:szCs w:val="21"/>
          <w:highlight w:val="none"/>
        </w:rPr>
        <w:t>并做出如下承诺：</w:t>
      </w:r>
    </w:p>
    <w:p w14:paraId="084A5FF6">
      <w:pPr>
        <w:pStyle w:val="53"/>
        <w:spacing w:line="400" w:lineRule="exact"/>
        <w:ind w:firstLine="420"/>
        <w:rPr>
          <w:rFonts w:hint="eastAsia" w:hAnsi="宋体" w:cs="宋体"/>
          <w:color w:val="auto"/>
          <w:szCs w:val="21"/>
          <w:highlight w:val="none"/>
        </w:rPr>
      </w:pPr>
      <w:r>
        <w:rPr>
          <w:rFonts w:hint="eastAsia" w:hAnsi="宋体" w:cs="宋体"/>
          <w:color w:val="auto"/>
          <w:szCs w:val="21"/>
          <w:highlight w:val="none"/>
        </w:rPr>
        <w:t>1、</w:t>
      </w:r>
      <w:r>
        <w:rPr>
          <w:rFonts w:hint="eastAsia" w:hAnsi="宋体" w:cs="宋体"/>
          <w:color w:val="auto"/>
          <w:szCs w:val="21"/>
          <w:highlight w:val="none"/>
          <w:lang w:val="zh-CN"/>
        </w:rPr>
        <w:t>我</w:t>
      </w:r>
      <w:r>
        <w:rPr>
          <w:rFonts w:hint="eastAsia" w:hAnsi="宋体" w:cs="宋体"/>
          <w:color w:val="auto"/>
          <w:szCs w:val="21"/>
          <w:highlight w:val="none"/>
        </w:rPr>
        <w:t>们</w:t>
      </w:r>
      <w:r>
        <w:rPr>
          <w:rFonts w:hint="eastAsia" w:hAnsi="宋体" w:cs="宋体"/>
          <w:color w:val="auto"/>
          <w:szCs w:val="21"/>
          <w:highlight w:val="none"/>
          <w:lang w:val="zh-CN"/>
        </w:rPr>
        <w:t>已详细审查并确认全部招标文件（包括补充文件）以及全部参考资料和有关附件</w:t>
      </w:r>
      <w:r>
        <w:rPr>
          <w:rFonts w:hint="eastAsia" w:hAnsi="宋体" w:cs="宋体"/>
          <w:color w:val="auto"/>
          <w:szCs w:val="21"/>
          <w:highlight w:val="none"/>
        </w:rPr>
        <w:t>。</w:t>
      </w:r>
    </w:p>
    <w:p w14:paraId="2850259A">
      <w:pPr>
        <w:tabs>
          <w:tab w:val="left" w:pos="1080"/>
        </w:tabs>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rPr>
        <w:t>2、</w:t>
      </w:r>
      <w:r>
        <w:rPr>
          <w:rFonts w:hint="eastAsia" w:ascii="宋体" w:hAnsi="宋体" w:cs="宋体"/>
          <w:color w:val="auto"/>
          <w:szCs w:val="21"/>
          <w:highlight w:val="none"/>
          <w:lang w:val="zh-CN"/>
        </w:rPr>
        <w:t>我们愿意按照招标文件的一切要求，</w:t>
      </w:r>
      <w:r>
        <w:rPr>
          <w:rFonts w:hint="eastAsia" w:hAnsi="宋体" w:cs="宋体"/>
          <w:color w:val="auto"/>
          <w:szCs w:val="21"/>
          <w:highlight w:val="none"/>
          <w:lang w:val="zh-CN"/>
        </w:rPr>
        <w:t>包括但不限于人工（包括工资、高温费、奖金、社保、法定节假日等各类加班费、各类保险费等费用）、专用设备、工具、易耗材、办公设备、巡检器材、服装、胸卡、通讯、保险、各种税费、政策性文件规定及合同包含的所有风险、责任等的费用，合同期内不再追加任何费用（包括最低工资、社保调整所增加的费用等）</w:t>
      </w:r>
      <w:r>
        <w:rPr>
          <w:rFonts w:hint="eastAsia" w:ascii="宋体" w:hAnsi="宋体" w:cs="宋体"/>
          <w:color w:val="auto"/>
          <w:szCs w:val="21"/>
          <w:highlight w:val="none"/>
        </w:rPr>
        <w:t>。</w:t>
      </w:r>
    </w:p>
    <w:p w14:paraId="25BF587E">
      <w:pPr>
        <w:autoSpaceDE w:val="0"/>
        <w:autoSpaceDN w:val="0"/>
        <w:adjustRightInd w:val="0"/>
        <w:snapToGrid w:val="0"/>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w:t>
      </w:r>
      <w:r>
        <w:rPr>
          <w:rFonts w:hint="eastAsia" w:ascii="宋体" w:hAnsi="宋体" w:cs="宋体"/>
          <w:color w:val="auto"/>
          <w:szCs w:val="21"/>
          <w:highlight w:val="none"/>
          <w:lang w:val="zh-CN"/>
        </w:rPr>
        <w:t>如果我们的投标书被接受，我们将严格履行招标文件中规定的每一项要求，按期、按质、按量履行合同的义务。</w:t>
      </w:r>
    </w:p>
    <w:p w14:paraId="38B2A18E">
      <w:pPr>
        <w:autoSpaceDE w:val="0"/>
        <w:autoSpaceDN w:val="0"/>
        <w:adjustRightInd w:val="0"/>
        <w:snapToGrid w:val="0"/>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4</w:t>
      </w:r>
      <w:r>
        <w:rPr>
          <w:rFonts w:hint="eastAsia" w:ascii="宋体" w:hAnsi="宋体" w:cs="宋体"/>
          <w:color w:val="auto"/>
          <w:szCs w:val="21"/>
          <w:highlight w:val="none"/>
          <w:lang w:val="zh-CN"/>
        </w:rPr>
        <w:t>、我们同意按招标文件中的规定，本投标书的有效期限为开标后</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u w:val="single"/>
        </w:rPr>
        <w:t>90</w:t>
      </w:r>
      <w:r>
        <w:rPr>
          <w:rFonts w:hint="eastAsia" w:ascii="宋体" w:hAnsi="宋体" w:cs="宋体"/>
          <w:color w:val="auto"/>
          <w:szCs w:val="21"/>
          <w:highlight w:val="none"/>
          <w:lang w:val="zh-CN"/>
        </w:rPr>
        <w:t>天。</w:t>
      </w:r>
    </w:p>
    <w:p w14:paraId="37EC9EE0">
      <w:pPr>
        <w:autoSpaceDE w:val="0"/>
        <w:autoSpaceDN w:val="0"/>
        <w:adjustRightInd w:val="0"/>
        <w:snapToGrid w:val="0"/>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5</w:t>
      </w:r>
      <w:r>
        <w:rPr>
          <w:rFonts w:hint="eastAsia" w:ascii="宋体" w:hAnsi="宋体" w:cs="宋体"/>
          <w:color w:val="auto"/>
          <w:szCs w:val="21"/>
          <w:highlight w:val="none"/>
          <w:lang w:val="zh-CN"/>
        </w:rPr>
        <w:t>、我们愿意提供招标方在招标文件中要求的</w:t>
      </w:r>
      <w:r>
        <w:rPr>
          <w:rFonts w:hint="eastAsia" w:ascii="宋体" w:hAnsi="宋体" w:cs="宋体"/>
          <w:color w:val="auto"/>
          <w:szCs w:val="21"/>
          <w:highlight w:val="none"/>
        </w:rPr>
        <w:t>相关</w:t>
      </w:r>
      <w:r>
        <w:rPr>
          <w:rFonts w:hint="eastAsia" w:ascii="宋体" w:hAnsi="宋体" w:cs="宋体"/>
          <w:color w:val="auto"/>
          <w:szCs w:val="21"/>
          <w:highlight w:val="none"/>
          <w:lang w:val="zh-CN"/>
        </w:rPr>
        <w:t>资料。</w:t>
      </w:r>
    </w:p>
    <w:p w14:paraId="0B97CC7F">
      <w:pPr>
        <w:autoSpaceDE w:val="0"/>
        <w:autoSpaceDN w:val="0"/>
        <w:adjustRightInd w:val="0"/>
        <w:snapToGrid w:val="0"/>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    6、我们承诺该项投标在开标后的全过程中保持有效，不作任何更改和变动。</w:t>
      </w:r>
    </w:p>
    <w:p w14:paraId="598CE4CC">
      <w:pPr>
        <w:autoSpaceDE w:val="0"/>
        <w:autoSpaceDN w:val="0"/>
        <w:adjustRightInd w:val="0"/>
        <w:snapToGrid w:val="0"/>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7</w:t>
      </w:r>
      <w:r>
        <w:rPr>
          <w:rFonts w:hint="eastAsia" w:ascii="宋体" w:hAnsi="宋体" w:cs="宋体"/>
          <w:color w:val="auto"/>
          <w:szCs w:val="21"/>
          <w:highlight w:val="none"/>
          <w:lang w:val="zh-CN"/>
        </w:rPr>
        <w:t>、</w:t>
      </w:r>
      <w:r>
        <w:rPr>
          <w:rFonts w:hint="eastAsia" w:ascii="宋体" w:hAnsi="宋体" w:cs="宋体"/>
          <w:b/>
          <w:bCs/>
          <w:color w:val="auto"/>
          <w:szCs w:val="21"/>
          <w:highlight w:val="none"/>
          <w:lang w:val="zh-CN"/>
        </w:rPr>
        <w:t>我们愿意按照贵</w:t>
      </w:r>
      <w:r>
        <w:rPr>
          <w:rFonts w:hint="eastAsia" w:ascii="宋体" w:hAnsi="宋体" w:cs="宋体"/>
          <w:b/>
          <w:bCs/>
          <w:color w:val="auto"/>
          <w:szCs w:val="21"/>
          <w:highlight w:val="none"/>
        </w:rPr>
        <w:t>方</w:t>
      </w:r>
      <w:r>
        <w:rPr>
          <w:rFonts w:hint="eastAsia" w:ascii="宋体" w:hAnsi="宋体" w:cs="宋体"/>
          <w:b/>
          <w:bCs/>
          <w:color w:val="auto"/>
          <w:szCs w:val="21"/>
          <w:highlight w:val="none"/>
          <w:lang w:val="zh-CN"/>
        </w:rPr>
        <w:t>招标文件的要求提供网上投标文件一份，并保证全部投标文件内容真实有效，若有虚假，我公司愿意承担与此相关的一切责任；</w:t>
      </w:r>
    </w:p>
    <w:p w14:paraId="0D325CF3">
      <w:pPr>
        <w:autoSpaceDE w:val="0"/>
        <w:autoSpaceDN w:val="0"/>
        <w:adjustRightInd w:val="0"/>
        <w:snapToGrid w:val="0"/>
        <w:spacing w:line="400" w:lineRule="exact"/>
        <w:ind w:firstLine="420"/>
        <w:rPr>
          <w:rFonts w:hint="eastAsia" w:ascii="宋体" w:hAnsi="宋体" w:cs="宋体"/>
          <w:color w:val="auto"/>
          <w:szCs w:val="21"/>
          <w:highlight w:val="none"/>
          <w:lang w:val="zh-CN"/>
        </w:rPr>
      </w:pPr>
      <w:r>
        <w:rPr>
          <w:rFonts w:hint="eastAsia" w:ascii="宋体" w:hAnsi="宋体" w:cs="宋体"/>
          <w:color w:val="auto"/>
          <w:szCs w:val="21"/>
          <w:highlight w:val="none"/>
        </w:rPr>
        <w:t>8</w:t>
      </w:r>
      <w:r>
        <w:rPr>
          <w:rFonts w:hint="eastAsia" w:ascii="宋体" w:hAnsi="宋体" w:cs="宋体"/>
          <w:color w:val="auto"/>
          <w:szCs w:val="21"/>
          <w:highlight w:val="none"/>
          <w:lang w:val="zh-CN"/>
        </w:rPr>
        <w:t>、我们愿意</w:t>
      </w:r>
      <w:r>
        <w:rPr>
          <w:rFonts w:hint="eastAsia" w:ascii="宋体" w:hAnsi="宋体" w:cs="宋体"/>
          <w:color w:val="auto"/>
          <w:szCs w:val="21"/>
          <w:highlight w:val="none"/>
        </w:rPr>
        <w:t>参</w:t>
      </w:r>
      <w:r>
        <w:rPr>
          <w:rFonts w:hint="eastAsia" w:ascii="宋体" w:hAnsi="宋体" w:cs="宋体"/>
          <w:color w:val="auto"/>
          <w:szCs w:val="21"/>
          <w:highlight w:val="none"/>
          <w:lang w:val="zh-CN"/>
        </w:rPr>
        <w:t>照《民法典》履行自己应该承担的全部责任；</w:t>
      </w:r>
    </w:p>
    <w:p w14:paraId="60248CE6">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9、我们同意采购人关于违约责任的认定方式和对违约责任的处罚；在服务过程中，如我单位违约，我单位愿意承担相应违约责任。</w:t>
      </w:r>
    </w:p>
    <w:p w14:paraId="753E3D5A">
      <w:pPr>
        <w:autoSpaceDE w:val="0"/>
        <w:autoSpaceDN w:val="0"/>
        <w:adjustRightInd w:val="0"/>
        <w:snapToGrid w:val="0"/>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    所有有关标书的函电，请按下列地址联系：</w:t>
      </w:r>
    </w:p>
    <w:p w14:paraId="6FC491D0">
      <w:pPr>
        <w:autoSpaceDE w:val="0"/>
        <w:autoSpaceDN w:val="0"/>
        <w:adjustRightInd w:val="0"/>
        <w:snapToGrid w:val="0"/>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lang w:val="zh-CN"/>
        </w:rPr>
        <w:t>单位：</w:t>
      </w:r>
    </w:p>
    <w:p w14:paraId="631ADCF5">
      <w:pPr>
        <w:autoSpaceDE w:val="0"/>
        <w:autoSpaceDN w:val="0"/>
        <w:adjustRightInd w:val="0"/>
        <w:snapToGrid w:val="0"/>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lang w:val="zh-CN"/>
        </w:rPr>
        <w:t>地址：</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邮政编码：</w:t>
      </w:r>
    </w:p>
    <w:p w14:paraId="189BA1B6">
      <w:pPr>
        <w:autoSpaceDE w:val="0"/>
        <w:autoSpaceDN w:val="0"/>
        <w:adjustRightInd w:val="0"/>
        <w:snapToGrid w:val="0"/>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lang w:val="zh-CN"/>
        </w:rPr>
        <w:t>联系人：</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联系电话</w:t>
      </w:r>
      <w:r>
        <w:rPr>
          <w:rFonts w:hint="eastAsia" w:ascii="宋体" w:hAnsi="宋体" w:cs="宋体"/>
          <w:color w:val="auto"/>
          <w:szCs w:val="21"/>
          <w:highlight w:val="none"/>
        </w:rPr>
        <w:t>/传真：</w:t>
      </w:r>
    </w:p>
    <w:p w14:paraId="25977C84">
      <w:pPr>
        <w:pStyle w:val="53"/>
        <w:spacing w:line="400" w:lineRule="exact"/>
        <w:ind w:firstLine="480"/>
        <w:rPr>
          <w:color w:val="auto"/>
          <w:highlight w:val="none"/>
        </w:rPr>
      </w:pPr>
    </w:p>
    <w:p w14:paraId="3F908CAD">
      <w:pPr>
        <w:autoSpaceDE w:val="0"/>
        <w:autoSpaceDN w:val="0"/>
        <w:adjustRightInd w:val="0"/>
        <w:snapToGrid w:val="0"/>
        <w:spacing w:line="400" w:lineRule="exact"/>
        <w:ind w:firstLine="2520" w:firstLineChars="1200"/>
        <w:rPr>
          <w:rFonts w:hint="eastAsia" w:ascii="宋体" w:hAnsi="宋体" w:cs="宋体"/>
          <w:color w:val="auto"/>
          <w:szCs w:val="21"/>
          <w:highlight w:val="none"/>
        </w:rPr>
      </w:pPr>
      <w:r>
        <w:rPr>
          <w:rFonts w:hint="eastAsia" w:ascii="宋体" w:hAnsi="宋体" w:cs="宋体"/>
          <w:color w:val="auto"/>
          <w:szCs w:val="21"/>
          <w:highlight w:val="none"/>
          <w:lang w:val="zh-CN"/>
        </w:rPr>
        <w:t>投标人：（公章）</w:t>
      </w:r>
    </w:p>
    <w:p w14:paraId="27718F95">
      <w:pPr>
        <w:autoSpaceDE w:val="0"/>
        <w:autoSpaceDN w:val="0"/>
        <w:adjustRightInd w:val="0"/>
        <w:snapToGrid w:val="0"/>
        <w:spacing w:line="400" w:lineRule="exact"/>
        <w:ind w:firstLine="2520" w:firstLineChars="1200"/>
        <w:rPr>
          <w:rFonts w:hint="eastAsia" w:ascii="宋体" w:hAnsi="宋体" w:cs="宋体"/>
          <w:color w:val="auto"/>
          <w:szCs w:val="21"/>
          <w:highlight w:val="none"/>
        </w:rPr>
      </w:pPr>
      <w:r>
        <w:rPr>
          <w:rFonts w:hint="eastAsia" w:ascii="宋体" w:hAnsi="宋体" w:cs="宋体"/>
          <w:color w:val="auto"/>
          <w:szCs w:val="21"/>
          <w:highlight w:val="none"/>
          <w:lang w:val="zh-CN"/>
        </w:rPr>
        <w:t>法定代表人或被授权人：（签字或签章）</w:t>
      </w:r>
    </w:p>
    <w:p w14:paraId="4A9E0C96">
      <w:pPr>
        <w:ind w:firstLine="2520" w:firstLineChars="1200"/>
        <w:jc w:val="left"/>
        <w:rPr>
          <w:b/>
          <w:color w:val="auto"/>
          <w:highlight w:val="none"/>
        </w:rPr>
      </w:pPr>
      <w:r>
        <w:rPr>
          <w:rFonts w:hint="eastAsia" w:ascii="宋体" w:hAnsi="宋体" w:cs="宋体"/>
          <w:color w:val="auto"/>
          <w:szCs w:val="21"/>
          <w:highlight w:val="none"/>
          <w:lang w:val="zh-CN"/>
        </w:rPr>
        <w:t>日期：      年     月     日</w:t>
      </w:r>
    </w:p>
    <w:p w14:paraId="2C55BEF2">
      <w:pPr>
        <w:jc w:val="left"/>
        <w:rPr>
          <w:b/>
          <w:color w:val="auto"/>
          <w:highlight w:val="none"/>
        </w:rPr>
      </w:pPr>
    </w:p>
    <w:p w14:paraId="708B0554">
      <w:pPr>
        <w:pStyle w:val="21"/>
        <w:outlineLvl w:val="1"/>
        <w:rPr>
          <w:rFonts w:ascii="Times New Roman" w:hAnsi="Times New Roman"/>
          <w:b/>
          <w:bCs/>
          <w:color w:val="auto"/>
          <w:szCs w:val="21"/>
          <w:highlight w:val="none"/>
        </w:rPr>
      </w:pPr>
      <w:r>
        <w:rPr>
          <w:rFonts w:ascii="Times New Roman" w:hAnsi="Times New Roman"/>
          <w:color w:val="auto"/>
          <w:highlight w:val="none"/>
        </w:rPr>
        <w:br w:type="page" w:clear="all"/>
      </w:r>
      <w:bookmarkStart w:id="39" w:name="_Toc3469"/>
      <w:bookmarkStart w:id="40" w:name="_Toc926"/>
      <w:r>
        <w:rPr>
          <w:rFonts w:ascii="Times New Roman" w:hAnsi="Times New Roman"/>
          <w:b/>
          <w:bCs/>
          <w:color w:val="auto"/>
          <w:szCs w:val="21"/>
          <w:highlight w:val="none"/>
        </w:rPr>
        <w:t>格式3：</w:t>
      </w:r>
      <w:bookmarkEnd w:id="39"/>
      <w:bookmarkEnd w:id="40"/>
      <w:bookmarkStart w:id="41" w:name="_Toc23009"/>
      <w:r>
        <w:rPr>
          <w:rFonts w:hint="eastAsia" w:ascii="Times New Roman" w:hAnsi="Times New Roman"/>
          <w:b/>
          <w:bCs/>
          <w:color w:val="auto"/>
          <w:szCs w:val="21"/>
          <w:highlight w:val="none"/>
        </w:rPr>
        <w:t>报价表</w:t>
      </w:r>
    </w:p>
    <w:p w14:paraId="2058694B">
      <w:pPr>
        <w:spacing w:line="600" w:lineRule="auto"/>
        <w:jc w:val="center"/>
        <w:rPr>
          <w:b/>
          <w:bCs/>
          <w:color w:val="auto"/>
          <w:sz w:val="30"/>
          <w:szCs w:val="30"/>
          <w:highlight w:val="none"/>
        </w:rPr>
      </w:pPr>
      <w:r>
        <w:rPr>
          <w:rFonts w:hint="eastAsia"/>
          <w:b/>
          <w:bCs/>
          <w:color w:val="auto"/>
          <w:sz w:val="30"/>
          <w:szCs w:val="30"/>
          <w:highlight w:val="none"/>
        </w:rPr>
        <w:t>报价表</w:t>
      </w:r>
    </w:p>
    <w:p w14:paraId="7ACC2CCC">
      <w:pPr>
        <w:spacing w:line="360" w:lineRule="auto"/>
        <w:rPr>
          <w:color w:val="auto"/>
          <w:szCs w:val="21"/>
          <w:highlight w:val="none"/>
          <w:u w:val="single"/>
        </w:rPr>
      </w:pPr>
      <w:r>
        <w:rPr>
          <w:color w:val="auto"/>
          <w:szCs w:val="21"/>
          <w:highlight w:val="none"/>
        </w:rPr>
        <w:t>项目编号：</w:t>
      </w:r>
    </w:p>
    <w:tbl>
      <w:tblPr>
        <w:tblStyle w:val="43"/>
        <w:tblW w:w="9465" w:type="dxa"/>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2532"/>
        <w:gridCol w:w="4320"/>
        <w:gridCol w:w="1563"/>
      </w:tblGrid>
      <w:tr w14:paraId="4AA4C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050" w:type="dxa"/>
            <w:vAlign w:val="center"/>
          </w:tcPr>
          <w:p w14:paraId="05DF840D">
            <w:pPr>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2532" w:type="dxa"/>
            <w:vAlign w:val="center"/>
          </w:tcPr>
          <w:p w14:paraId="6AD99699">
            <w:pPr>
              <w:jc w:val="center"/>
              <w:rPr>
                <w:rFonts w:hint="eastAsia" w:ascii="宋体" w:hAnsi="宋体" w:cs="宋体"/>
                <w:color w:val="auto"/>
                <w:szCs w:val="21"/>
                <w:highlight w:val="none"/>
              </w:rPr>
            </w:pPr>
            <w:r>
              <w:rPr>
                <w:rFonts w:hint="eastAsia" w:ascii="宋体" w:hAnsi="宋体" w:cs="宋体"/>
                <w:color w:val="auto"/>
                <w:szCs w:val="21"/>
                <w:highlight w:val="none"/>
              </w:rPr>
              <w:t>项目名称</w:t>
            </w:r>
          </w:p>
        </w:tc>
        <w:tc>
          <w:tcPr>
            <w:tcW w:w="4320" w:type="dxa"/>
            <w:vAlign w:val="center"/>
          </w:tcPr>
          <w:p w14:paraId="38736E68">
            <w:pPr>
              <w:jc w:val="center"/>
              <w:rPr>
                <w:rFonts w:hint="eastAsia" w:ascii="宋体" w:hAnsi="宋体" w:cs="宋体"/>
                <w:color w:val="auto"/>
                <w:szCs w:val="21"/>
                <w:highlight w:val="none"/>
              </w:rPr>
            </w:pPr>
            <w:r>
              <w:rPr>
                <w:rFonts w:hint="eastAsia" w:ascii="宋体" w:hAnsi="宋体" w:cs="宋体"/>
                <w:color w:val="auto"/>
                <w:szCs w:val="21"/>
                <w:highlight w:val="none"/>
              </w:rPr>
              <w:t>投标报价</w:t>
            </w:r>
          </w:p>
        </w:tc>
        <w:tc>
          <w:tcPr>
            <w:tcW w:w="1563" w:type="dxa"/>
            <w:vAlign w:val="center"/>
          </w:tcPr>
          <w:p w14:paraId="3F5F6B51">
            <w:pPr>
              <w:jc w:val="center"/>
              <w:rPr>
                <w:rFonts w:hint="eastAsia" w:ascii="宋体" w:hAnsi="宋体" w:cs="宋体"/>
                <w:color w:val="auto"/>
                <w:szCs w:val="21"/>
                <w:highlight w:val="none"/>
              </w:rPr>
            </w:pPr>
            <w:r>
              <w:rPr>
                <w:rFonts w:hint="eastAsia" w:ascii="宋体" w:hAnsi="宋体" w:cs="宋体"/>
                <w:color w:val="auto"/>
                <w:szCs w:val="21"/>
                <w:highlight w:val="none"/>
              </w:rPr>
              <w:t>是否属于小、微型企业</w:t>
            </w:r>
          </w:p>
        </w:tc>
      </w:tr>
      <w:tr w14:paraId="68793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050" w:type="dxa"/>
            <w:vAlign w:val="center"/>
          </w:tcPr>
          <w:p w14:paraId="2F4A2968">
            <w:pPr>
              <w:spacing w:line="320" w:lineRule="exact"/>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2532" w:type="dxa"/>
            <w:vAlign w:val="center"/>
          </w:tcPr>
          <w:p w14:paraId="4B233F1E">
            <w:pPr>
              <w:spacing w:line="320" w:lineRule="exact"/>
              <w:rPr>
                <w:rFonts w:hint="eastAsia" w:ascii="宋体" w:hAnsi="宋体" w:cs="宋体"/>
                <w:color w:val="auto"/>
                <w:szCs w:val="21"/>
                <w:highlight w:val="none"/>
              </w:rPr>
            </w:pPr>
            <w:r>
              <w:rPr>
                <w:rFonts w:hint="eastAsia" w:ascii="宋体" w:hAnsi="宋体" w:cs="宋体"/>
                <w:color w:val="auto"/>
                <w:szCs w:val="21"/>
                <w:highlight w:val="none"/>
              </w:rPr>
              <w:t>苏州市吴江区精神康复医院医疗辅助服务</w:t>
            </w:r>
          </w:p>
        </w:tc>
        <w:tc>
          <w:tcPr>
            <w:tcW w:w="4320" w:type="dxa"/>
            <w:vAlign w:val="center"/>
          </w:tcPr>
          <w:p w14:paraId="22392E8D">
            <w:pPr>
              <w:spacing w:line="320" w:lineRule="exact"/>
              <w:jc w:val="center"/>
              <w:rPr>
                <w:rFonts w:hint="eastAsia" w:ascii="宋体" w:hAnsi="宋体" w:cs="宋体"/>
                <w:color w:val="auto"/>
                <w:szCs w:val="21"/>
                <w:highlight w:val="none"/>
              </w:rPr>
            </w:pPr>
          </w:p>
        </w:tc>
        <w:tc>
          <w:tcPr>
            <w:tcW w:w="1563" w:type="dxa"/>
            <w:vAlign w:val="center"/>
          </w:tcPr>
          <w:p w14:paraId="06BBAA19">
            <w:pPr>
              <w:spacing w:line="320" w:lineRule="exact"/>
              <w:jc w:val="center"/>
              <w:rPr>
                <w:rFonts w:hint="eastAsia" w:ascii="宋体" w:hAnsi="宋体" w:cs="宋体"/>
                <w:color w:val="auto"/>
                <w:szCs w:val="21"/>
                <w:highlight w:val="none"/>
              </w:rPr>
            </w:pPr>
          </w:p>
        </w:tc>
      </w:tr>
      <w:tr w14:paraId="17A30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9465" w:type="dxa"/>
            <w:gridSpan w:val="4"/>
            <w:tcBorders>
              <w:top w:val="nil"/>
              <w:bottom w:val="single" w:color="auto" w:sz="4" w:space="0"/>
            </w:tcBorders>
            <w:vAlign w:val="center"/>
          </w:tcPr>
          <w:p w14:paraId="0C46EA9C">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投标总报价（人民币大写）：                  ￥：</w:t>
            </w:r>
          </w:p>
        </w:tc>
      </w:tr>
    </w:tbl>
    <w:p w14:paraId="655F0F71">
      <w:pPr>
        <w:pStyle w:val="240"/>
        <w:spacing w:line="420" w:lineRule="exact"/>
        <w:rPr>
          <w:rFonts w:ascii="Times New Roman" w:hAnsi="Times New Roman" w:eastAsia="宋体"/>
          <w:color w:val="auto"/>
          <w:sz w:val="21"/>
          <w:szCs w:val="21"/>
          <w:highlight w:val="none"/>
        </w:rPr>
      </w:pPr>
    </w:p>
    <w:p w14:paraId="0AE05286">
      <w:pPr>
        <w:pStyle w:val="240"/>
        <w:spacing w:line="42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响应</w:t>
      </w:r>
      <w:r>
        <w:rPr>
          <w:rFonts w:ascii="Times New Roman" w:hAnsi="Times New Roman" w:eastAsia="宋体"/>
          <w:color w:val="auto"/>
          <w:sz w:val="21"/>
          <w:szCs w:val="21"/>
          <w:highlight w:val="none"/>
        </w:rPr>
        <w:t xml:space="preserve">单位（公章）：  </w:t>
      </w:r>
    </w:p>
    <w:p w14:paraId="5ACA8471">
      <w:pPr>
        <w:pStyle w:val="240"/>
        <w:spacing w:line="42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法定代表人或代理人：（签字或盖章）</w:t>
      </w:r>
    </w:p>
    <w:p w14:paraId="2647D1DF">
      <w:pPr>
        <w:spacing w:line="420" w:lineRule="exact"/>
        <w:rPr>
          <w:color w:val="auto"/>
          <w:szCs w:val="21"/>
          <w:highlight w:val="none"/>
        </w:rPr>
      </w:pPr>
      <w:r>
        <w:rPr>
          <w:color w:val="auto"/>
          <w:szCs w:val="21"/>
          <w:highlight w:val="none"/>
        </w:rPr>
        <w:t>日期：     年   月   日</w:t>
      </w:r>
    </w:p>
    <w:p w14:paraId="2C4B244A">
      <w:pPr>
        <w:pStyle w:val="230"/>
        <w:spacing w:line="400" w:lineRule="exact"/>
        <w:ind w:firstLine="435"/>
        <w:rPr>
          <w:rFonts w:hint="eastAsia" w:hAnsi="宋体" w:eastAsia="宋体" w:cs="宋体"/>
          <w:color w:val="auto"/>
          <w:sz w:val="21"/>
          <w:szCs w:val="21"/>
          <w:highlight w:val="none"/>
          <w:lang w:val="zh-CN"/>
        </w:rPr>
      </w:pPr>
      <w:bookmarkStart w:id="42" w:name="_Toc18106"/>
    </w:p>
    <w:p w14:paraId="59BC0146">
      <w:pPr>
        <w:pStyle w:val="230"/>
        <w:spacing w:line="400" w:lineRule="exact"/>
        <w:ind w:firstLine="435"/>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rPr>
        <w:t>注：</w:t>
      </w:r>
      <w:r>
        <w:rPr>
          <w:rFonts w:hint="eastAsia" w:hAnsi="宋体" w:eastAsia="宋体" w:cs="宋体"/>
          <w:color w:val="auto"/>
          <w:sz w:val="21"/>
          <w:szCs w:val="21"/>
          <w:highlight w:val="none"/>
          <w:lang w:val="zh-CN"/>
        </w:rPr>
        <w:t>以上价格应包括但不限于人工（包括工资、高温费、奖金、社保、法定节假日等各类加班费、各类保险费等费用）、专用设备、工具、易耗材、办公设备、巡检器材、服装、胸卡、通讯、保险、各种税费、政策性文件规定及合同包含的所有风险、责任等的费用，合同期内不再追加任何费用（包括最低工资、社保调整所增加的费用等）。</w:t>
      </w:r>
    </w:p>
    <w:p w14:paraId="1C89C4D5">
      <w:pPr>
        <w:spacing w:line="360" w:lineRule="auto"/>
        <w:rPr>
          <w:rFonts w:hint="eastAsia" w:ascii="宋体" w:hAnsi="宋体"/>
          <w:b/>
          <w:color w:val="auto"/>
          <w:szCs w:val="21"/>
          <w:highlight w:val="none"/>
        </w:rPr>
      </w:pPr>
    </w:p>
    <w:p w14:paraId="6C50D028">
      <w:pPr>
        <w:pStyle w:val="243"/>
        <w:pageBreakBefore/>
        <w:spacing w:line="440" w:lineRule="exact"/>
        <w:outlineLvl w:val="1"/>
        <w:rPr>
          <w:rFonts w:hint="eastAsia" w:hAnsi="宋体" w:cs="宋体"/>
          <w:b/>
          <w:color w:val="auto"/>
          <w:sz w:val="21"/>
          <w:szCs w:val="21"/>
          <w:highlight w:val="none"/>
          <w:lang w:val="zh-CN"/>
        </w:rPr>
      </w:pPr>
      <w:r>
        <w:rPr>
          <w:rFonts w:hint="eastAsia" w:hAnsi="宋体" w:cs="宋体"/>
          <w:b/>
          <w:bCs/>
          <w:color w:val="auto"/>
          <w:sz w:val="21"/>
          <w:szCs w:val="21"/>
          <w:highlight w:val="none"/>
        </w:rPr>
        <w:t>格式4：分项报价表</w:t>
      </w:r>
    </w:p>
    <w:p w14:paraId="734E71E2">
      <w:pPr>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分项报价表（一）</w:t>
      </w:r>
    </w:p>
    <w:p w14:paraId="2373E5E9">
      <w:pPr>
        <w:jc w:val="center"/>
        <w:rPr>
          <w:color w:val="auto"/>
          <w:highlight w:val="none"/>
        </w:rPr>
      </w:pPr>
      <w:r>
        <w:rPr>
          <w:rFonts w:hint="eastAsia" w:ascii="宋体" w:hAnsi="宋体" w:cs="宋体"/>
          <w:color w:val="auto"/>
          <w:szCs w:val="21"/>
          <w:highlight w:val="none"/>
        </w:rPr>
        <w:t>（综合单价）</w:t>
      </w:r>
    </w:p>
    <w:p w14:paraId="3047EA65">
      <w:pPr>
        <w:pStyle w:val="243"/>
        <w:spacing w:line="360" w:lineRule="auto"/>
        <w:ind w:firstLine="420"/>
        <w:rPr>
          <w:rFonts w:hint="eastAsia" w:hAnsi="宋体" w:cs="宋体"/>
          <w:bCs/>
          <w:color w:val="auto"/>
          <w:sz w:val="21"/>
          <w:szCs w:val="21"/>
          <w:highlight w:val="none"/>
          <w:lang w:val="zh-CN"/>
        </w:rPr>
      </w:pPr>
      <w:r>
        <w:rPr>
          <w:rFonts w:hint="eastAsia" w:hAnsi="宋体" w:cs="宋体"/>
          <w:bCs/>
          <w:color w:val="auto"/>
          <w:sz w:val="21"/>
          <w:szCs w:val="21"/>
          <w:highlight w:val="none"/>
        </w:rPr>
        <w:t>项目</w:t>
      </w:r>
      <w:r>
        <w:rPr>
          <w:rFonts w:hAnsi="宋体" w:cs="宋体"/>
          <w:bCs/>
          <w:color w:val="auto"/>
          <w:sz w:val="21"/>
          <w:szCs w:val="21"/>
          <w:highlight w:val="none"/>
          <w:lang w:val="zh-CN"/>
        </w:rPr>
        <w:t>编号：</w:t>
      </w:r>
    </w:p>
    <w:p w14:paraId="51F7FADC">
      <w:pPr>
        <w:pStyle w:val="16"/>
        <w:ind w:firstLine="420"/>
        <w:rPr>
          <w:rFonts w:hint="eastAsia" w:ascii="宋体" w:hAnsi="宋体" w:cs="宋体"/>
          <w:color w:val="auto"/>
          <w:sz w:val="21"/>
          <w:szCs w:val="21"/>
          <w:highlight w:val="none"/>
        </w:rPr>
      </w:pPr>
      <w:r>
        <w:rPr>
          <w:rFonts w:hint="eastAsia" w:hAnsi="宋体" w:cs="宋体"/>
          <w:bCs/>
          <w:color w:val="auto"/>
          <w:sz w:val="21"/>
          <w:szCs w:val="21"/>
          <w:highlight w:val="none"/>
        </w:rPr>
        <w:t>项目名称：</w:t>
      </w:r>
      <w:r>
        <w:rPr>
          <w:rFonts w:hAnsi="宋体" w:cs="宋体"/>
          <w:bCs/>
          <w:color w:val="auto"/>
          <w:sz w:val="21"/>
          <w:szCs w:val="21"/>
          <w:highlight w:val="none"/>
          <w:lang w:val="zh-CN"/>
        </w:rPr>
        <w:t xml:space="preserve"> </w:t>
      </w:r>
    </w:p>
    <w:tbl>
      <w:tblPr>
        <w:tblStyle w:val="43"/>
        <w:tblW w:w="8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0"/>
        <w:gridCol w:w="1166"/>
        <w:gridCol w:w="1004"/>
        <w:gridCol w:w="2366"/>
        <w:gridCol w:w="2350"/>
        <w:gridCol w:w="1192"/>
      </w:tblGrid>
      <w:tr w14:paraId="05449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3" w:hRule="atLeast"/>
        </w:trPr>
        <w:tc>
          <w:tcPr>
            <w:tcW w:w="550" w:type="dxa"/>
            <w:tcBorders>
              <w:top w:val="single" w:color="auto" w:sz="4" w:space="0"/>
              <w:left w:val="single" w:color="auto" w:sz="4" w:space="0"/>
              <w:bottom w:val="single" w:color="auto" w:sz="4" w:space="0"/>
              <w:right w:val="single" w:color="auto" w:sz="4" w:space="0"/>
            </w:tcBorders>
            <w:vAlign w:val="center"/>
          </w:tcPr>
          <w:p w14:paraId="315F9F6B">
            <w:pPr>
              <w:pStyle w:val="12"/>
              <w:spacing w:line="400" w:lineRule="exact"/>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166" w:type="dxa"/>
            <w:tcBorders>
              <w:top w:val="single" w:color="auto" w:sz="4" w:space="0"/>
              <w:left w:val="single" w:color="auto" w:sz="4" w:space="0"/>
              <w:bottom w:val="single" w:color="auto" w:sz="4" w:space="0"/>
              <w:right w:val="single" w:color="auto" w:sz="4" w:space="0"/>
            </w:tcBorders>
            <w:vAlign w:val="center"/>
          </w:tcPr>
          <w:p w14:paraId="3C738903">
            <w:pPr>
              <w:pStyle w:val="12"/>
              <w:spacing w:line="400" w:lineRule="exact"/>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1004" w:type="dxa"/>
            <w:tcBorders>
              <w:top w:val="single" w:color="auto" w:sz="4" w:space="0"/>
              <w:left w:val="single" w:color="auto" w:sz="4" w:space="0"/>
              <w:bottom w:val="single" w:color="auto" w:sz="4" w:space="0"/>
              <w:right w:val="single" w:color="auto" w:sz="4" w:space="0"/>
            </w:tcBorders>
            <w:vAlign w:val="center"/>
          </w:tcPr>
          <w:p w14:paraId="375C1A52">
            <w:pPr>
              <w:pStyle w:val="12"/>
              <w:spacing w:line="400" w:lineRule="exact"/>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总人数</w:t>
            </w:r>
          </w:p>
        </w:tc>
        <w:tc>
          <w:tcPr>
            <w:tcW w:w="2366" w:type="dxa"/>
            <w:tcBorders>
              <w:top w:val="single" w:color="auto" w:sz="4" w:space="0"/>
              <w:left w:val="single" w:color="auto" w:sz="4" w:space="0"/>
              <w:bottom w:val="single" w:color="auto" w:sz="4" w:space="0"/>
              <w:right w:val="single" w:color="auto" w:sz="4" w:space="0"/>
            </w:tcBorders>
            <w:vAlign w:val="center"/>
          </w:tcPr>
          <w:p w14:paraId="636A9AA5">
            <w:pPr>
              <w:pStyle w:val="12"/>
              <w:spacing w:line="400" w:lineRule="exact"/>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综合单价（元/人×月）</w:t>
            </w:r>
          </w:p>
        </w:tc>
        <w:tc>
          <w:tcPr>
            <w:tcW w:w="2350" w:type="dxa"/>
            <w:tcBorders>
              <w:top w:val="single" w:color="auto" w:sz="4" w:space="0"/>
              <w:left w:val="single" w:color="auto" w:sz="4" w:space="0"/>
              <w:bottom w:val="single" w:color="auto" w:sz="4" w:space="0"/>
              <w:right w:val="single" w:color="auto" w:sz="4" w:space="0"/>
            </w:tcBorders>
            <w:vAlign w:val="center"/>
          </w:tcPr>
          <w:p w14:paraId="0BBBAA80">
            <w:pPr>
              <w:pStyle w:val="12"/>
              <w:spacing w:line="400" w:lineRule="exact"/>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投标总价</w:t>
            </w:r>
          </w:p>
          <w:p w14:paraId="39889BF6">
            <w:pPr>
              <w:pStyle w:val="12"/>
              <w:spacing w:line="400" w:lineRule="exact"/>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（人数×综合单价×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个月）</w:t>
            </w:r>
          </w:p>
        </w:tc>
        <w:tc>
          <w:tcPr>
            <w:tcW w:w="1192" w:type="dxa"/>
            <w:tcBorders>
              <w:top w:val="single" w:color="auto" w:sz="4" w:space="0"/>
              <w:left w:val="single" w:color="auto" w:sz="4" w:space="0"/>
              <w:bottom w:val="single" w:color="auto" w:sz="4" w:space="0"/>
              <w:right w:val="single" w:color="auto" w:sz="4" w:space="0"/>
            </w:tcBorders>
            <w:vAlign w:val="center"/>
          </w:tcPr>
          <w:p w14:paraId="48D3ED54">
            <w:pPr>
              <w:pStyle w:val="12"/>
              <w:spacing w:line="400" w:lineRule="exact"/>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服务时间</w:t>
            </w:r>
          </w:p>
        </w:tc>
      </w:tr>
      <w:tr w14:paraId="1B925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7" w:hRule="atLeast"/>
        </w:trPr>
        <w:tc>
          <w:tcPr>
            <w:tcW w:w="550" w:type="dxa"/>
            <w:tcBorders>
              <w:top w:val="single" w:color="auto" w:sz="4" w:space="0"/>
              <w:left w:val="single" w:color="auto" w:sz="4" w:space="0"/>
              <w:bottom w:val="single" w:color="auto" w:sz="4" w:space="0"/>
              <w:right w:val="single" w:color="auto" w:sz="4" w:space="0"/>
            </w:tcBorders>
            <w:vAlign w:val="center"/>
          </w:tcPr>
          <w:p w14:paraId="341C39CA">
            <w:pPr>
              <w:pStyle w:val="12"/>
              <w:spacing w:line="400" w:lineRule="exact"/>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166" w:type="dxa"/>
            <w:tcBorders>
              <w:top w:val="single" w:color="auto" w:sz="4" w:space="0"/>
              <w:left w:val="single" w:color="auto" w:sz="4" w:space="0"/>
              <w:bottom w:val="single" w:color="auto" w:sz="4" w:space="0"/>
              <w:right w:val="single" w:color="auto" w:sz="4" w:space="0"/>
            </w:tcBorders>
            <w:vAlign w:val="center"/>
          </w:tcPr>
          <w:p w14:paraId="39E1BF51">
            <w:pPr>
              <w:ind w:firstLine="420"/>
              <w:rPr>
                <w:rFonts w:hint="eastAsia" w:ascii="宋体" w:hAnsi="宋体" w:cs="宋体"/>
                <w:color w:val="auto"/>
                <w:szCs w:val="21"/>
                <w:highlight w:val="none"/>
              </w:rPr>
            </w:pPr>
          </w:p>
        </w:tc>
        <w:tc>
          <w:tcPr>
            <w:tcW w:w="1004" w:type="dxa"/>
            <w:tcBorders>
              <w:top w:val="single" w:color="auto" w:sz="4" w:space="0"/>
              <w:left w:val="single" w:color="auto" w:sz="4" w:space="0"/>
              <w:bottom w:val="single" w:color="auto" w:sz="4" w:space="0"/>
              <w:right w:val="single" w:color="auto" w:sz="4" w:space="0"/>
            </w:tcBorders>
            <w:vAlign w:val="center"/>
          </w:tcPr>
          <w:p w14:paraId="24756476">
            <w:pPr>
              <w:rPr>
                <w:rFonts w:hint="eastAsia" w:ascii="宋体" w:hAnsi="宋体" w:cs="宋体"/>
                <w:color w:val="auto"/>
                <w:szCs w:val="21"/>
                <w:highlight w:val="none"/>
              </w:rPr>
            </w:pPr>
          </w:p>
        </w:tc>
        <w:tc>
          <w:tcPr>
            <w:tcW w:w="2366" w:type="dxa"/>
            <w:tcBorders>
              <w:top w:val="single" w:color="auto" w:sz="4" w:space="0"/>
              <w:left w:val="single" w:color="auto" w:sz="4" w:space="0"/>
              <w:bottom w:val="single" w:color="auto" w:sz="4" w:space="0"/>
              <w:right w:val="single" w:color="auto" w:sz="4" w:space="0"/>
            </w:tcBorders>
            <w:vAlign w:val="center"/>
          </w:tcPr>
          <w:p w14:paraId="469BDB22">
            <w:pPr>
              <w:pStyle w:val="12"/>
              <w:spacing w:line="400" w:lineRule="exact"/>
              <w:ind w:firstLine="0"/>
              <w:jc w:val="center"/>
              <w:rPr>
                <w:rFonts w:hint="eastAsia" w:ascii="宋体" w:hAnsi="宋体" w:eastAsia="宋体" w:cs="宋体"/>
                <w:color w:val="auto"/>
                <w:sz w:val="21"/>
                <w:szCs w:val="21"/>
                <w:highlight w:val="none"/>
              </w:rPr>
            </w:pPr>
          </w:p>
        </w:tc>
        <w:tc>
          <w:tcPr>
            <w:tcW w:w="2350" w:type="dxa"/>
            <w:tcBorders>
              <w:top w:val="single" w:color="auto" w:sz="4" w:space="0"/>
              <w:left w:val="single" w:color="auto" w:sz="4" w:space="0"/>
              <w:bottom w:val="single" w:color="auto" w:sz="4" w:space="0"/>
              <w:right w:val="single" w:color="auto" w:sz="4" w:space="0"/>
            </w:tcBorders>
            <w:vAlign w:val="center"/>
          </w:tcPr>
          <w:p w14:paraId="64328024">
            <w:pPr>
              <w:pStyle w:val="12"/>
              <w:spacing w:line="400" w:lineRule="exact"/>
              <w:ind w:firstLine="0"/>
              <w:jc w:val="center"/>
              <w:rPr>
                <w:rFonts w:hint="eastAsia" w:ascii="宋体" w:hAnsi="宋体" w:eastAsia="宋体" w:cs="宋体"/>
                <w:color w:val="auto"/>
                <w:sz w:val="21"/>
                <w:szCs w:val="21"/>
                <w:highlight w:val="none"/>
              </w:rPr>
            </w:pPr>
          </w:p>
        </w:tc>
        <w:tc>
          <w:tcPr>
            <w:tcW w:w="1192" w:type="dxa"/>
            <w:tcBorders>
              <w:top w:val="single" w:color="auto" w:sz="4" w:space="0"/>
              <w:left w:val="single" w:color="auto" w:sz="4" w:space="0"/>
              <w:bottom w:val="single" w:color="auto" w:sz="4" w:space="0"/>
              <w:right w:val="single" w:color="auto" w:sz="4" w:space="0"/>
            </w:tcBorders>
            <w:vAlign w:val="center"/>
          </w:tcPr>
          <w:p w14:paraId="006AC84A">
            <w:pPr>
              <w:pStyle w:val="12"/>
              <w:spacing w:line="400" w:lineRule="exact"/>
              <w:ind w:firstLine="0"/>
              <w:jc w:val="center"/>
              <w:rPr>
                <w:rFonts w:hint="eastAsia" w:ascii="宋体" w:hAnsi="宋体" w:eastAsia="宋体" w:cs="宋体"/>
                <w:color w:val="auto"/>
                <w:sz w:val="21"/>
                <w:szCs w:val="21"/>
                <w:highlight w:val="none"/>
              </w:rPr>
            </w:pPr>
          </w:p>
        </w:tc>
      </w:tr>
      <w:tr w14:paraId="68F3D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3" w:hRule="atLeast"/>
        </w:trPr>
        <w:tc>
          <w:tcPr>
            <w:tcW w:w="550" w:type="dxa"/>
            <w:tcBorders>
              <w:top w:val="single" w:color="auto" w:sz="4" w:space="0"/>
              <w:left w:val="single" w:color="auto" w:sz="4" w:space="0"/>
              <w:bottom w:val="single" w:color="auto" w:sz="4" w:space="0"/>
              <w:right w:val="single" w:color="auto" w:sz="4" w:space="0"/>
            </w:tcBorders>
            <w:vAlign w:val="center"/>
          </w:tcPr>
          <w:p w14:paraId="594EA6B8">
            <w:pPr>
              <w:pStyle w:val="12"/>
              <w:spacing w:line="400" w:lineRule="exact"/>
              <w:ind w:firstLine="0"/>
              <w:jc w:val="center"/>
              <w:rPr>
                <w:rFonts w:hint="eastAsia" w:ascii="宋体" w:hAnsi="宋体" w:eastAsia="宋体" w:cs="宋体"/>
                <w:color w:val="auto"/>
                <w:sz w:val="21"/>
                <w:szCs w:val="21"/>
                <w:highlight w:val="none"/>
              </w:rPr>
            </w:pPr>
          </w:p>
        </w:tc>
        <w:tc>
          <w:tcPr>
            <w:tcW w:w="1166" w:type="dxa"/>
            <w:tcBorders>
              <w:top w:val="single" w:color="auto" w:sz="4" w:space="0"/>
              <w:left w:val="single" w:color="auto" w:sz="4" w:space="0"/>
              <w:bottom w:val="single" w:color="auto" w:sz="4" w:space="0"/>
              <w:right w:val="single" w:color="auto" w:sz="4" w:space="0"/>
            </w:tcBorders>
            <w:vAlign w:val="center"/>
          </w:tcPr>
          <w:p w14:paraId="395EC30A">
            <w:pPr>
              <w:pStyle w:val="12"/>
              <w:spacing w:line="400" w:lineRule="exact"/>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合计</w:t>
            </w:r>
          </w:p>
        </w:tc>
        <w:tc>
          <w:tcPr>
            <w:tcW w:w="1004" w:type="dxa"/>
            <w:tcBorders>
              <w:top w:val="single" w:color="auto" w:sz="4" w:space="0"/>
              <w:left w:val="single" w:color="auto" w:sz="4" w:space="0"/>
              <w:bottom w:val="single" w:color="auto" w:sz="4" w:space="0"/>
              <w:right w:val="single" w:color="auto" w:sz="4" w:space="0"/>
            </w:tcBorders>
            <w:vAlign w:val="center"/>
          </w:tcPr>
          <w:p w14:paraId="036D1EDE">
            <w:pPr>
              <w:pStyle w:val="12"/>
              <w:spacing w:line="400" w:lineRule="exact"/>
              <w:ind w:firstLine="0"/>
              <w:jc w:val="center"/>
              <w:rPr>
                <w:rFonts w:hint="eastAsia" w:ascii="宋体" w:hAnsi="宋体" w:eastAsia="宋体" w:cs="宋体"/>
                <w:color w:val="auto"/>
                <w:sz w:val="21"/>
                <w:szCs w:val="21"/>
                <w:highlight w:val="none"/>
              </w:rPr>
            </w:pPr>
          </w:p>
        </w:tc>
        <w:tc>
          <w:tcPr>
            <w:tcW w:w="2366" w:type="dxa"/>
            <w:tcBorders>
              <w:top w:val="single" w:color="auto" w:sz="4" w:space="0"/>
              <w:left w:val="single" w:color="auto" w:sz="4" w:space="0"/>
              <w:bottom w:val="single" w:color="auto" w:sz="4" w:space="0"/>
              <w:right w:val="single" w:color="auto" w:sz="4" w:space="0"/>
            </w:tcBorders>
            <w:vAlign w:val="center"/>
          </w:tcPr>
          <w:p w14:paraId="0C45E206">
            <w:pPr>
              <w:pStyle w:val="12"/>
              <w:spacing w:line="400" w:lineRule="exact"/>
              <w:ind w:firstLine="0"/>
              <w:jc w:val="center"/>
              <w:rPr>
                <w:rFonts w:hint="eastAsia" w:ascii="宋体" w:hAnsi="宋体" w:eastAsia="宋体" w:cs="宋体"/>
                <w:color w:val="auto"/>
                <w:sz w:val="21"/>
                <w:szCs w:val="21"/>
                <w:highlight w:val="none"/>
              </w:rPr>
            </w:pPr>
          </w:p>
        </w:tc>
        <w:tc>
          <w:tcPr>
            <w:tcW w:w="2350" w:type="dxa"/>
            <w:tcBorders>
              <w:top w:val="single" w:color="auto" w:sz="4" w:space="0"/>
              <w:left w:val="single" w:color="auto" w:sz="4" w:space="0"/>
              <w:bottom w:val="single" w:color="auto" w:sz="4" w:space="0"/>
              <w:right w:val="single" w:color="auto" w:sz="4" w:space="0"/>
            </w:tcBorders>
            <w:vAlign w:val="center"/>
          </w:tcPr>
          <w:p w14:paraId="6FFCBC92">
            <w:pPr>
              <w:pStyle w:val="12"/>
              <w:spacing w:line="400" w:lineRule="exact"/>
              <w:ind w:firstLine="0"/>
              <w:jc w:val="center"/>
              <w:rPr>
                <w:rFonts w:hint="eastAsia" w:ascii="宋体" w:hAnsi="宋体" w:eastAsia="宋体" w:cs="宋体"/>
                <w:color w:val="auto"/>
                <w:sz w:val="21"/>
                <w:szCs w:val="21"/>
                <w:highlight w:val="none"/>
              </w:rPr>
            </w:pPr>
          </w:p>
        </w:tc>
        <w:tc>
          <w:tcPr>
            <w:tcW w:w="1192" w:type="dxa"/>
            <w:tcBorders>
              <w:top w:val="single" w:color="auto" w:sz="4" w:space="0"/>
              <w:left w:val="single" w:color="auto" w:sz="4" w:space="0"/>
              <w:bottom w:val="single" w:color="auto" w:sz="4" w:space="0"/>
              <w:right w:val="single" w:color="auto" w:sz="4" w:space="0"/>
            </w:tcBorders>
            <w:vAlign w:val="center"/>
          </w:tcPr>
          <w:p w14:paraId="4DDB1650">
            <w:pPr>
              <w:pStyle w:val="12"/>
              <w:spacing w:line="400" w:lineRule="exact"/>
              <w:ind w:firstLine="0"/>
              <w:jc w:val="center"/>
              <w:rPr>
                <w:rFonts w:hint="eastAsia" w:ascii="宋体" w:hAnsi="宋体" w:eastAsia="宋体" w:cs="宋体"/>
                <w:color w:val="auto"/>
                <w:sz w:val="21"/>
                <w:szCs w:val="21"/>
                <w:highlight w:val="none"/>
              </w:rPr>
            </w:pPr>
          </w:p>
        </w:tc>
      </w:tr>
    </w:tbl>
    <w:p w14:paraId="6E6C25E1">
      <w:pPr>
        <w:pStyle w:val="243"/>
        <w:spacing w:line="440" w:lineRule="exact"/>
        <w:ind w:firstLine="105"/>
        <w:rPr>
          <w:rFonts w:hint="eastAsia" w:hAnsi="宋体" w:cs="宋体"/>
          <w:color w:val="auto"/>
          <w:sz w:val="21"/>
          <w:szCs w:val="21"/>
          <w:highlight w:val="none"/>
        </w:rPr>
      </w:pPr>
      <w:r>
        <w:rPr>
          <w:rFonts w:hint="eastAsia" w:hAnsi="宋体" w:cs="宋体"/>
          <w:color w:val="auto"/>
          <w:sz w:val="21"/>
          <w:szCs w:val="21"/>
          <w:highlight w:val="none"/>
        </w:rPr>
        <w:t>响应单位：（公章）</w:t>
      </w:r>
    </w:p>
    <w:p w14:paraId="45F619A8">
      <w:pPr>
        <w:pStyle w:val="243"/>
        <w:spacing w:line="440" w:lineRule="exact"/>
        <w:ind w:firstLine="105"/>
        <w:rPr>
          <w:rFonts w:hint="eastAsia" w:hAnsi="宋体" w:cs="宋体"/>
          <w:color w:val="auto"/>
          <w:sz w:val="21"/>
          <w:szCs w:val="21"/>
          <w:highlight w:val="none"/>
        </w:rPr>
      </w:pPr>
      <w:r>
        <w:rPr>
          <w:rFonts w:hint="eastAsia" w:hAnsi="宋体" w:cs="宋体"/>
          <w:color w:val="auto"/>
          <w:sz w:val="21"/>
          <w:szCs w:val="21"/>
          <w:highlight w:val="none"/>
        </w:rPr>
        <w:t>法定代表人或代理人：（签字或盖章）</w:t>
      </w:r>
    </w:p>
    <w:p w14:paraId="0D4311AF">
      <w:pPr>
        <w:pStyle w:val="12"/>
        <w:spacing w:line="440" w:lineRule="exact"/>
        <w:ind w:firstLine="0"/>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 日期：         年    月     日</w:t>
      </w:r>
    </w:p>
    <w:p w14:paraId="610A1D45">
      <w:pPr>
        <w:spacing w:line="440" w:lineRule="exact"/>
        <w:rPr>
          <w:rFonts w:hint="eastAsia" w:ascii="宋体" w:hAnsi="宋体" w:cs="宋体"/>
          <w:color w:val="auto"/>
          <w:szCs w:val="21"/>
          <w:highlight w:val="none"/>
        </w:rPr>
      </w:pPr>
    </w:p>
    <w:p w14:paraId="5C11D0D5">
      <w:pPr>
        <w:rPr>
          <w:b/>
          <w:bCs/>
          <w:color w:val="auto"/>
          <w:szCs w:val="21"/>
          <w:highlight w:val="none"/>
        </w:rPr>
      </w:pPr>
      <w:r>
        <w:rPr>
          <w:b/>
          <w:bCs/>
          <w:color w:val="auto"/>
          <w:szCs w:val="21"/>
          <w:highlight w:val="none"/>
        </w:rPr>
        <w:br w:type="page" w:clear="all"/>
      </w:r>
    </w:p>
    <w:p w14:paraId="32856361">
      <w:pPr>
        <w:spacing w:line="360" w:lineRule="auto"/>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分项报价表（二）</w:t>
      </w:r>
    </w:p>
    <w:p w14:paraId="42425E93">
      <w:pPr>
        <w:pStyle w:val="230"/>
        <w:spacing w:line="400" w:lineRule="exact"/>
        <w:jc w:val="center"/>
        <w:rPr>
          <w:rFonts w:hint="eastAsia" w:hAnsi="宋体" w:eastAsia="宋体" w:cs="宋体"/>
          <w:color w:val="auto"/>
          <w:sz w:val="21"/>
          <w:szCs w:val="21"/>
          <w:highlight w:val="none"/>
        </w:rPr>
      </w:pPr>
      <w:r>
        <w:rPr>
          <w:rFonts w:hint="eastAsia" w:hAnsi="宋体" w:eastAsia="宋体" w:cs="宋体"/>
          <w:color w:val="auto"/>
          <w:sz w:val="21"/>
          <w:szCs w:val="21"/>
          <w:highlight w:val="none"/>
        </w:rPr>
        <w:t>（分项报价表）</w:t>
      </w:r>
    </w:p>
    <w:p w14:paraId="0732FB2F">
      <w:pPr>
        <w:pStyle w:val="230"/>
        <w:spacing w:line="400" w:lineRule="exact"/>
        <w:rPr>
          <w:rFonts w:hint="eastAsia" w:hAnsi="宋体" w:eastAsia="宋体" w:cs="宋体"/>
          <w:color w:val="auto"/>
          <w:sz w:val="21"/>
          <w:szCs w:val="21"/>
          <w:highlight w:val="none"/>
          <w:u w:val="single"/>
        </w:rPr>
      </w:pPr>
      <w:r>
        <w:rPr>
          <w:rFonts w:hint="eastAsia" w:hAnsi="宋体" w:eastAsia="宋体" w:cs="宋体"/>
          <w:color w:val="auto"/>
          <w:sz w:val="21"/>
          <w:szCs w:val="21"/>
          <w:highlight w:val="none"/>
        </w:rPr>
        <w:t>投标人：（单位盖章）</w:t>
      </w:r>
      <w:r>
        <w:rPr>
          <w:rFonts w:hint="eastAsia" w:hAnsi="宋体" w:eastAsia="宋体" w:cs="宋体"/>
          <w:color w:val="auto"/>
          <w:sz w:val="21"/>
          <w:szCs w:val="21"/>
          <w:highlight w:val="none"/>
          <w:u w:val="single"/>
        </w:rPr>
        <w:t xml:space="preserve">                    </w:t>
      </w:r>
    </w:p>
    <w:p w14:paraId="49DADC04">
      <w:pPr>
        <w:spacing w:line="360" w:lineRule="auto"/>
        <w:jc w:val="center"/>
        <w:rPr>
          <w:b/>
          <w:bCs/>
          <w:color w:val="auto"/>
          <w:szCs w:val="21"/>
          <w:highlight w:val="none"/>
        </w:rPr>
      </w:pPr>
    </w:p>
    <w:tbl>
      <w:tblPr>
        <w:tblStyle w:val="43"/>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127"/>
        <w:gridCol w:w="2132"/>
        <w:gridCol w:w="2132"/>
        <w:gridCol w:w="2131"/>
      </w:tblGrid>
      <w:tr w14:paraId="0720AE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4" w:hRule="atLeast"/>
        </w:trPr>
        <w:tc>
          <w:tcPr>
            <w:tcW w:w="2127" w:type="dxa"/>
            <w:tcBorders>
              <w:top w:val="single" w:color="auto" w:sz="4" w:space="0"/>
              <w:left w:val="single" w:color="auto" w:sz="4" w:space="0"/>
              <w:bottom w:val="single" w:color="auto" w:sz="4" w:space="0"/>
              <w:right w:val="single" w:color="auto" w:sz="4" w:space="0"/>
            </w:tcBorders>
            <w:vAlign w:val="center"/>
          </w:tcPr>
          <w:p w14:paraId="6C376A28">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2132" w:type="dxa"/>
            <w:tcBorders>
              <w:top w:val="single" w:color="auto" w:sz="4" w:space="0"/>
              <w:left w:val="single" w:color="auto" w:sz="4" w:space="0"/>
              <w:bottom w:val="single" w:color="auto" w:sz="4" w:space="0"/>
              <w:right w:val="single" w:color="auto" w:sz="4" w:space="0"/>
            </w:tcBorders>
            <w:vAlign w:val="center"/>
          </w:tcPr>
          <w:p w14:paraId="24F05F2B">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条目</w:t>
            </w:r>
          </w:p>
        </w:tc>
        <w:tc>
          <w:tcPr>
            <w:tcW w:w="2132" w:type="dxa"/>
            <w:tcBorders>
              <w:top w:val="single" w:color="auto" w:sz="4" w:space="0"/>
              <w:left w:val="single" w:color="auto" w:sz="4" w:space="0"/>
              <w:bottom w:val="single" w:color="auto" w:sz="4" w:space="0"/>
              <w:right w:val="single" w:color="auto" w:sz="4" w:space="0"/>
            </w:tcBorders>
            <w:vAlign w:val="center"/>
          </w:tcPr>
          <w:p w14:paraId="347FB7FC">
            <w:pPr>
              <w:spacing w:line="400" w:lineRule="exact"/>
              <w:jc w:val="center"/>
              <w:rPr>
                <w:rFonts w:hint="eastAsia" w:ascii="宋体" w:hAnsi="宋体" w:cs="宋体"/>
                <w:b/>
                <w:color w:val="auto"/>
                <w:szCs w:val="21"/>
                <w:highlight w:val="none"/>
              </w:rPr>
            </w:pPr>
            <w:r>
              <w:rPr>
                <w:rFonts w:hint="eastAsia" w:ascii="宋体" w:hAnsi="宋体" w:cs="宋体"/>
                <w:color w:val="auto"/>
                <w:szCs w:val="21"/>
                <w:highlight w:val="none"/>
              </w:rPr>
              <w:t>价格</w:t>
            </w:r>
          </w:p>
        </w:tc>
        <w:tc>
          <w:tcPr>
            <w:tcW w:w="2131" w:type="dxa"/>
            <w:tcBorders>
              <w:top w:val="single" w:color="auto" w:sz="4" w:space="0"/>
              <w:left w:val="single" w:color="auto" w:sz="4" w:space="0"/>
              <w:bottom w:val="single" w:color="auto" w:sz="4" w:space="0"/>
              <w:right w:val="single" w:color="auto" w:sz="4" w:space="0"/>
            </w:tcBorders>
            <w:vAlign w:val="center"/>
          </w:tcPr>
          <w:p w14:paraId="22C1FD57">
            <w:pPr>
              <w:spacing w:line="400" w:lineRule="exact"/>
              <w:jc w:val="center"/>
              <w:rPr>
                <w:rFonts w:hint="eastAsia" w:ascii="宋体" w:hAnsi="宋体" w:cs="宋体"/>
                <w:b/>
                <w:color w:val="auto"/>
                <w:szCs w:val="21"/>
                <w:highlight w:val="none"/>
              </w:rPr>
            </w:pPr>
          </w:p>
        </w:tc>
      </w:tr>
      <w:tr w14:paraId="43C3E2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3" w:hRule="atLeast"/>
        </w:trPr>
        <w:tc>
          <w:tcPr>
            <w:tcW w:w="2127" w:type="dxa"/>
            <w:tcBorders>
              <w:top w:val="single" w:color="auto" w:sz="4" w:space="0"/>
              <w:left w:val="single" w:color="auto" w:sz="4" w:space="0"/>
              <w:bottom w:val="single" w:color="auto" w:sz="4" w:space="0"/>
              <w:right w:val="single" w:color="auto" w:sz="4" w:space="0"/>
            </w:tcBorders>
            <w:vAlign w:val="center"/>
          </w:tcPr>
          <w:p w14:paraId="0BCC7714">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2132" w:type="dxa"/>
            <w:tcBorders>
              <w:top w:val="single" w:color="auto" w:sz="4" w:space="0"/>
              <w:left w:val="single" w:color="auto" w:sz="4" w:space="0"/>
              <w:bottom w:val="single" w:color="auto" w:sz="4" w:space="0"/>
              <w:right w:val="single" w:color="auto" w:sz="4" w:space="0"/>
            </w:tcBorders>
            <w:vAlign w:val="center"/>
          </w:tcPr>
          <w:p w14:paraId="3E00F456">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人工成本</w:t>
            </w:r>
          </w:p>
        </w:tc>
        <w:tc>
          <w:tcPr>
            <w:tcW w:w="2132" w:type="dxa"/>
            <w:tcBorders>
              <w:top w:val="single" w:color="auto" w:sz="4" w:space="0"/>
              <w:left w:val="single" w:color="auto" w:sz="4" w:space="0"/>
              <w:bottom w:val="single" w:color="auto" w:sz="4" w:space="0"/>
              <w:right w:val="single" w:color="auto" w:sz="4" w:space="0"/>
            </w:tcBorders>
            <w:vAlign w:val="center"/>
          </w:tcPr>
          <w:p w14:paraId="45AA5851">
            <w:pPr>
              <w:spacing w:line="400" w:lineRule="exact"/>
              <w:jc w:val="center"/>
              <w:rPr>
                <w:rFonts w:hint="eastAsia" w:ascii="宋体" w:hAnsi="宋体" w:cs="宋体"/>
                <w:color w:val="auto"/>
                <w:szCs w:val="21"/>
                <w:highlight w:val="none"/>
              </w:rPr>
            </w:pPr>
          </w:p>
        </w:tc>
        <w:tc>
          <w:tcPr>
            <w:tcW w:w="2131" w:type="dxa"/>
            <w:tcBorders>
              <w:top w:val="single" w:color="auto" w:sz="4" w:space="0"/>
              <w:left w:val="single" w:color="auto" w:sz="4" w:space="0"/>
              <w:bottom w:val="single" w:color="auto" w:sz="4" w:space="0"/>
              <w:right w:val="single" w:color="auto" w:sz="4" w:space="0"/>
            </w:tcBorders>
            <w:vAlign w:val="center"/>
          </w:tcPr>
          <w:p w14:paraId="330AE36F">
            <w:pPr>
              <w:spacing w:line="400" w:lineRule="exact"/>
              <w:jc w:val="center"/>
              <w:rPr>
                <w:rFonts w:hint="eastAsia" w:ascii="宋体" w:hAnsi="宋体" w:cs="宋体"/>
                <w:color w:val="auto"/>
                <w:szCs w:val="21"/>
                <w:highlight w:val="none"/>
              </w:rPr>
            </w:pPr>
          </w:p>
        </w:tc>
      </w:tr>
      <w:tr w14:paraId="3E3597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2127" w:type="dxa"/>
            <w:tcBorders>
              <w:top w:val="single" w:color="auto" w:sz="4" w:space="0"/>
              <w:left w:val="single" w:color="auto" w:sz="4" w:space="0"/>
              <w:bottom w:val="single" w:color="auto" w:sz="4" w:space="0"/>
              <w:right w:val="single" w:color="auto" w:sz="4" w:space="0"/>
            </w:tcBorders>
            <w:vAlign w:val="center"/>
          </w:tcPr>
          <w:p w14:paraId="4CC7E149">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2132" w:type="dxa"/>
            <w:tcBorders>
              <w:top w:val="single" w:color="auto" w:sz="4" w:space="0"/>
              <w:left w:val="single" w:color="auto" w:sz="4" w:space="0"/>
              <w:bottom w:val="single" w:color="auto" w:sz="4" w:space="0"/>
              <w:right w:val="single" w:color="auto" w:sz="4" w:space="0"/>
            </w:tcBorders>
            <w:vAlign w:val="center"/>
          </w:tcPr>
          <w:p w14:paraId="2B1A95AC">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办公设备</w:t>
            </w:r>
          </w:p>
        </w:tc>
        <w:tc>
          <w:tcPr>
            <w:tcW w:w="2132" w:type="dxa"/>
            <w:tcBorders>
              <w:top w:val="single" w:color="auto" w:sz="4" w:space="0"/>
              <w:left w:val="single" w:color="auto" w:sz="4" w:space="0"/>
              <w:bottom w:val="single" w:color="auto" w:sz="4" w:space="0"/>
              <w:right w:val="single" w:color="auto" w:sz="4" w:space="0"/>
            </w:tcBorders>
            <w:vAlign w:val="center"/>
          </w:tcPr>
          <w:p w14:paraId="35ECAD65">
            <w:pPr>
              <w:spacing w:line="400" w:lineRule="exact"/>
              <w:jc w:val="center"/>
              <w:rPr>
                <w:rFonts w:hint="eastAsia" w:ascii="宋体" w:hAnsi="宋体" w:cs="宋体"/>
                <w:color w:val="auto"/>
                <w:szCs w:val="21"/>
                <w:highlight w:val="none"/>
              </w:rPr>
            </w:pPr>
          </w:p>
        </w:tc>
        <w:tc>
          <w:tcPr>
            <w:tcW w:w="2131" w:type="dxa"/>
            <w:tcBorders>
              <w:top w:val="single" w:color="auto" w:sz="4" w:space="0"/>
              <w:left w:val="single" w:color="auto" w:sz="4" w:space="0"/>
              <w:bottom w:val="single" w:color="auto" w:sz="4" w:space="0"/>
              <w:right w:val="single" w:color="auto" w:sz="4" w:space="0"/>
            </w:tcBorders>
            <w:vAlign w:val="center"/>
          </w:tcPr>
          <w:p w14:paraId="53C4C139">
            <w:pPr>
              <w:spacing w:line="400" w:lineRule="exact"/>
              <w:jc w:val="center"/>
              <w:rPr>
                <w:rFonts w:hint="eastAsia" w:ascii="宋体" w:hAnsi="宋体" w:cs="宋体"/>
                <w:color w:val="auto"/>
                <w:szCs w:val="21"/>
                <w:highlight w:val="none"/>
              </w:rPr>
            </w:pPr>
          </w:p>
        </w:tc>
      </w:tr>
      <w:tr w14:paraId="4C3AF8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2127" w:type="dxa"/>
            <w:tcBorders>
              <w:top w:val="single" w:color="auto" w:sz="4" w:space="0"/>
              <w:left w:val="single" w:color="auto" w:sz="4" w:space="0"/>
              <w:bottom w:val="single" w:color="auto" w:sz="4" w:space="0"/>
              <w:right w:val="single" w:color="auto" w:sz="4" w:space="0"/>
            </w:tcBorders>
            <w:vAlign w:val="center"/>
          </w:tcPr>
          <w:p w14:paraId="28F38449">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2132" w:type="dxa"/>
            <w:tcBorders>
              <w:top w:val="single" w:color="auto" w:sz="4" w:space="0"/>
              <w:left w:val="single" w:color="auto" w:sz="4" w:space="0"/>
              <w:bottom w:val="single" w:color="auto" w:sz="4" w:space="0"/>
              <w:right w:val="single" w:color="auto" w:sz="4" w:space="0"/>
            </w:tcBorders>
            <w:vAlign w:val="center"/>
          </w:tcPr>
          <w:p w14:paraId="2126C04F">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服装</w:t>
            </w:r>
          </w:p>
        </w:tc>
        <w:tc>
          <w:tcPr>
            <w:tcW w:w="2132" w:type="dxa"/>
            <w:tcBorders>
              <w:top w:val="single" w:color="auto" w:sz="4" w:space="0"/>
              <w:left w:val="single" w:color="auto" w:sz="4" w:space="0"/>
              <w:bottom w:val="single" w:color="auto" w:sz="4" w:space="0"/>
              <w:right w:val="single" w:color="auto" w:sz="4" w:space="0"/>
            </w:tcBorders>
            <w:vAlign w:val="center"/>
          </w:tcPr>
          <w:p w14:paraId="66AC5DBB">
            <w:pPr>
              <w:spacing w:line="400" w:lineRule="exact"/>
              <w:jc w:val="center"/>
              <w:rPr>
                <w:rFonts w:hint="eastAsia" w:ascii="宋体" w:hAnsi="宋体" w:cs="宋体"/>
                <w:color w:val="auto"/>
                <w:szCs w:val="21"/>
                <w:highlight w:val="none"/>
              </w:rPr>
            </w:pPr>
          </w:p>
        </w:tc>
        <w:tc>
          <w:tcPr>
            <w:tcW w:w="2131" w:type="dxa"/>
            <w:tcBorders>
              <w:top w:val="single" w:color="auto" w:sz="4" w:space="0"/>
              <w:left w:val="single" w:color="auto" w:sz="4" w:space="0"/>
              <w:bottom w:val="single" w:color="auto" w:sz="4" w:space="0"/>
              <w:right w:val="single" w:color="auto" w:sz="4" w:space="0"/>
            </w:tcBorders>
            <w:vAlign w:val="center"/>
          </w:tcPr>
          <w:p w14:paraId="7D94B043">
            <w:pPr>
              <w:spacing w:line="400" w:lineRule="exact"/>
              <w:jc w:val="center"/>
              <w:rPr>
                <w:rFonts w:hint="eastAsia" w:ascii="宋体" w:hAnsi="宋体" w:cs="宋体"/>
                <w:color w:val="auto"/>
                <w:szCs w:val="21"/>
                <w:highlight w:val="none"/>
              </w:rPr>
            </w:pPr>
          </w:p>
        </w:tc>
      </w:tr>
      <w:tr w14:paraId="50B321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2127" w:type="dxa"/>
            <w:tcBorders>
              <w:top w:val="single" w:color="auto" w:sz="4" w:space="0"/>
              <w:left w:val="single" w:color="auto" w:sz="4" w:space="0"/>
              <w:bottom w:val="single" w:color="auto" w:sz="4" w:space="0"/>
              <w:right w:val="single" w:color="auto" w:sz="4" w:space="0"/>
            </w:tcBorders>
            <w:vAlign w:val="center"/>
          </w:tcPr>
          <w:p w14:paraId="0D629B8E">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2132" w:type="dxa"/>
            <w:tcBorders>
              <w:top w:val="single" w:color="auto" w:sz="4" w:space="0"/>
              <w:left w:val="single" w:color="auto" w:sz="4" w:space="0"/>
              <w:bottom w:val="single" w:color="auto" w:sz="4" w:space="0"/>
              <w:right w:val="single" w:color="auto" w:sz="4" w:space="0"/>
            </w:tcBorders>
            <w:vAlign w:val="center"/>
          </w:tcPr>
          <w:p w14:paraId="1AF64B7D">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专用设备</w:t>
            </w:r>
          </w:p>
        </w:tc>
        <w:tc>
          <w:tcPr>
            <w:tcW w:w="2132" w:type="dxa"/>
            <w:tcBorders>
              <w:top w:val="single" w:color="auto" w:sz="4" w:space="0"/>
              <w:left w:val="single" w:color="auto" w:sz="4" w:space="0"/>
              <w:bottom w:val="single" w:color="auto" w:sz="4" w:space="0"/>
              <w:right w:val="single" w:color="auto" w:sz="4" w:space="0"/>
            </w:tcBorders>
            <w:vAlign w:val="center"/>
          </w:tcPr>
          <w:p w14:paraId="75BAB706">
            <w:pPr>
              <w:spacing w:line="400" w:lineRule="exact"/>
              <w:jc w:val="center"/>
              <w:rPr>
                <w:rFonts w:hint="eastAsia" w:ascii="宋体" w:hAnsi="宋体" w:cs="宋体"/>
                <w:color w:val="auto"/>
                <w:szCs w:val="21"/>
                <w:highlight w:val="none"/>
              </w:rPr>
            </w:pPr>
          </w:p>
        </w:tc>
        <w:tc>
          <w:tcPr>
            <w:tcW w:w="2131" w:type="dxa"/>
            <w:tcBorders>
              <w:top w:val="single" w:color="auto" w:sz="4" w:space="0"/>
              <w:left w:val="single" w:color="auto" w:sz="4" w:space="0"/>
              <w:bottom w:val="single" w:color="auto" w:sz="4" w:space="0"/>
              <w:right w:val="single" w:color="auto" w:sz="4" w:space="0"/>
            </w:tcBorders>
            <w:vAlign w:val="center"/>
          </w:tcPr>
          <w:p w14:paraId="170C5F5D">
            <w:pPr>
              <w:spacing w:line="400" w:lineRule="exact"/>
              <w:jc w:val="center"/>
              <w:rPr>
                <w:rFonts w:hint="eastAsia" w:ascii="宋体" w:hAnsi="宋体" w:cs="宋体"/>
                <w:color w:val="auto"/>
                <w:szCs w:val="21"/>
                <w:highlight w:val="none"/>
              </w:rPr>
            </w:pPr>
          </w:p>
        </w:tc>
      </w:tr>
      <w:tr w14:paraId="33573E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360" w:hRule="atLeast"/>
        </w:trPr>
        <w:tc>
          <w:tcPr>
            <w:tcW w:w="2127" w:type="dxa"/>
            <w:tcBorders>
              <w:top w:val="single" w:color="auto" w:sz="4" w:space="0"/>
              <w:left w:val="single" w:color="auto" w:sz="4" w:space="0"/>
              <w:bottom w:val="single" w:color="auto" w:sz="4" w:space="0"/>
              <w:right w:val="single" w:color="auto" w:sz="4" w:space="0"/>
            </w:tcBorders>
            <w:vAlign w:val="center"/>
          </w:tcPr>
          <w:p w14:paraId="032331C6">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132" w:type="dxa"/>
            <w:tcBorders>
              <w:top w:val="single" w:color="auto" w:sz="4" w:space="0"/>
              <w:left w:val="single" w:color="auto" w:sz="4" w:space="0"/>
              <w:bottom w:val="single" w:color="auto" w:sz="4" w:space="0"/>
              <w:right w:val="single" w:color="auto" w:sz="4" w:space="0"/>
            </w:tcBorders>
            <w:vAlign w:val="center"/>
          </w:tcPr>
          <w:p w14:paraId="78393D09">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通讯器材</w:t>
            </w:r>
          </w:p>
        </w:tc>
        <w:tc>
          <w:tcPr>
            <w:tcW w:w="2132" w:type="dxa"/>
            <w:tcBorders>
              <w:top w:val="single" w:color="auto" w:sz="4" w:space="0"/>
              <w:left w:val="single" w:color="auto" w:sz="4" w:space="0"/>
              <w:bottom w:val="single" w:color="auto" w:sz="4" w:space="0"/>
              <w:right w:val="single" w:color="auto" w:sz="4" w:space="0"/>
            </w:tcBorders>
            <w:vAlign w:val="center"/>
          </w:tcPr>
          <w:p w14:paraId="46E786BF">
            <w:pPr>
              <w:spacing w:line="400" w:lineRule="exact"/>
              <w:jc w:val="center"/>
              <w:rPr>
                <w:rFonts w:hint="eastAsia" w:ascii="宋体" w:hAnsi="宋体" w:cs="宋体"/>
                <w:color w:val="auto"/>
                <w:szCs w:val="21"/>
                <w:highlight w:val="none"/>
              </w:rPr>
            </w:pPr>
          </w:p>
        </w:tc>
        <w:tc>
          <w:tcPr>
            <w:tcW w:w="2131" w:type="dxa"/>
            <w:tcBorders>
              <w:top w:val="single" w:color="auto" w:sz="4" w:space="0"/>
              <w:left w:val="single" w:color="auto" w:sz="4" w:space="0"/>
              <w:bottom w:val="single" w:color="auto" w:sz="4" w:space="0"/>
              <w:right w:val="single" w:color="auto" w:sz="4" w:space="0"/>
            </w:tcBorders>
            <w:vAlign w:val="center"/>
          </w:tcPr>
          <w:p w14:paraId="3B291D56">
            <w:pPr>
              <w:spacing w:line="400" w:lineRule="exact"/>
              <w:jc w:val="center"/>
              <w:rPr>
                <w:rFonts w:hint="eastAsia" w:ascii="宋体" w:hAnsi="宋体" w:cs="宋体"/>
                <w:color w:val="auto"/>
                <w:szCs w:val="21"/>
                <w:highlight w:val="none"/>
              </w:rPr>
            </w:pPr>
          </w:p>
        </w:tc>
      </w:tr>
      <w:tr w14:paraId="0528C8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2127" w:type="dxa"/>
            <w:tcBorders>
              <w:top w:val="single" w:color="auto" w:sz="4" w:space="0"/>
              <w:left w:val="single" w:color="auto" w:sz="4" w:space="0"/>
              <w:bottom w:val="single" w:color="auto" w:sz="4" w:space="0"/>
              <w:right w:val="single" w:color="auto" w:sz="4" w:space="0"/>
            </w:tcBorders>
            <w:vAlign w:val="center"/>
          </w:tcPr>
          <w:p w14:paraId="351191D9">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6</w:t>
            </w:r>
          </w:p>
        </w:tc>
        <w:tc>
          <w:tcPr>
            <w:tcW w:w="2132" w:type="dxa"/>
            <w:tcBorders>
              <w:top w:val="single" w:color="auto" w:sz="4" w:space="0"/>
              <w:left w:val="single" w:color="auto" w:sz="4" w:space="0"/>
              <w:bottom w:val="single" w:color="auto" w:sz="4" w:space="0"/>
              <w:right w:val="single" w:color="auto" w:sz="4" w:space="0"/>
            </w:tcBorders>
            <w:vAlign w:val="center"/>
          </w:tcPr>
          <w:p w14:paraId="7E14F4F7">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巡检器材</w:t>
            </w:r>
          </w:p>
        </w:tc>
        <w:tc>
          <w:tcPr>
            <w:tcW w:w="2132" w:type="dxa"/>
            <w:tcBorders>
              <w:top w:val="single" w:color="auto" w:sz="4" w:space="0"/>
              <w:left w:val="single" w:color="auto" w:sz="4" w:space="0"/>
              <w:bottom w:val="single" w:color="auto" w:sz="4" w:space="0"/>
              <w:right w:val="single" w:color="auto" w:sz="4" w:space="0"/>
            </w:tcBorders>
            <w:vAlign w:val="center"/>
          </w:tcPr>
          <w:p w14:paraId="05069E59">
            <w:pPr>
              <w:spacing w:line="400" w:lineRule="exact"/>
              <w:jc w:val="center"/>
              <w:rPr>
                <w:rFonts w:hint="eastAsia" w:ascii="宋体" w:hAnsi="宋体" w:cs="宋体"/>
                <w:color w:val="auto"/>
                <w:szCs w:val="21"/>
                <w:highlight w:val="none"/>
              </w:rPr>
            </w:pPr>
          </w:p>
        </w:tc>
        <w:tc>
          <w:tcPr>
            <w:tcW w:w="2131" w:type="dxa"/>
            <w:tcBorders>
              <w:top w:val="single" w:color="auto" w:sz="4" w:space="0"/>
              <w:left w:val="single" w:color="auto" w:sz="4" w:space="0"/>
              <w:bottom w:val="single" w:color="auto" w:sz="4" w:space="0"/>
              <w:right w:val="single" w:color="auto" w:sz="4" w:space="0"/>
            </w:tcBorders>
            <w:vAlign w:val="center"/>
          </w:tcPr>
          <w:p w14:paraId="69F55E1F">
            <w:pPr>
              <w:spacing w:line="400" w:lineRule="exact"/>
              <w:jc w:val="center"/>
              <w:rPr>
                <w:rFonts w:hint="eastAsia" w:ascii="宋体" w:hAnsi="宋体" w:cs="宋体"/>
                <w:color w:val="auto"/>
                <w:szCs w:val="21"/>
                <w:highlight w:val="none"/>
              </w:rPr>
            </w:pPr>
          </w:p>
        </w:tc>
      </w:tr>
      <w:tr w14:paraId="030FDEE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2127" w:type="dxa"/>
            <w:tcBorders>
              <w:top w:val="single" w:color="auto" w:sz="4" w:space="0"/>
              <w:left w:val="single" w:color="auto" w:sz="4" w:space="0"/>
              <w:bottom w:val="single" w:color="auto" w:sz="4" w:space="0"/>
              <w:right w:val="single" w:color="auto" w:sz="4" w:space="0"/>
            </w:tcBorders>
            <w:vAlign w:val="center"/>
          </w:tcPr>
          <w:p w14:paraId="089C8B35">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7</w:t>
            </w:r>
          </w:p>
        </w:tc>
        <w:tc>
          <w:tcPr>
            <w:tcW w:w="2132" w:type="dxa"/>
            <w:tcBorders>
              <w:top w:val="single" w:color="auto" w:sz="4" w:space="0"/>
              <w:left w:val="single" w:color="auto" w:sz="4" w:space="0"/>
              <w:bottom w:val="single" w:color="auto" w:sz="4" w:space="0"/>
              <w:right w:val="single" w:color="auto" w:sz="4" w:space="0"/>
            </w:tcBorders>
            <w:vAlign w:val="center"/>
          </w:tcPr>
          <w:p w14:paraId="789532C9">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易耗品</w:t>
            </w:r>
          </w:p>
        </w:tc>
        <w:tc>
          <w:tcPr>
            <w:tcW w:w="2132" w:type="dxa"/>
            <w:tcBorders>
              <w:top w:val="single" w:color="auto" w:sz="4" w:space="0"/>
              <w:left w:val="single" w:color="auto" w:sz="4" w:space="0"/>
              <w:bottom w:val="single" w:color="auto" w:sz="4" w:space="0"/>
              <w:right w:val="single" w:color="auto" w:sz="4" w:space="0"/>
            </w:tcBorders>
            <w:vAlign w:val="center"/>
          </w:tcPr>
          <w:p w14:paraId="0ECA549D">
            <w:pPr>
              <w:spacing w:line="400" w:lineRule="exact"/>
              <w:jc w:val="center"/>
              <w:rPr>
                <w:rFonts w:hint="eastAsia" w:ascii="宋体" w:hAnsi="宋体" w:cs="宋体"/>
                <w:color w:val="auto"/>
                <w:szCs w:val="21"/>
                <w:highlight w:val="none"/>
              </w:rPr>
            </w:pPr>
          </w:p>
        </w:tc>
        <w:tc>
          <w:tcPr>
            <w:tcW w:w="2131" w:type="dxa"/>
            <w:tcBorders>
              <w:top w:val="single" w:color="auto" w:sz="4" w:space="0"/>
              <w:left w:val="single" w:color="auto" w:sz="4" w:space="0"/>
              <w:bottom w:val="single" w:color="auto" w:sz="4" w:space="0"/>
              <w:right w:val="single" w:color="auto" w:sz="4" w:space="0"/>
            </w:tcBorders>
            <w:vAlign w:val="center"/>
          </w:tcPr>
          <w:p w14:paraId="031CCDCD">
            <w:pPr>
              <w:spacing w:line="400" w:lineRule="exact"/>
              <w:jc w:val="center"/>
              <w:rPr>
                <w:rFonts w:hint="eastAsia" w:ascii="宋体" w:hAnsi="宋体" w:cs="宋体"/>
                <w:color w:val="auto"/>
                <w:szCs w:val="21"/>
                <w:highlight w:val="none"/>
              </w:rPr>
            </w:pPr>
          </w:p>
        </w:tc>
      </w:tr>
      <w:tr w14:paraId="5A374A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2127" w:type="dxa"/>
            <w:tcBorders>
              <w:top w:val="single" w:color="auto" w:sz="4" w:space="0"/>
              <w:left w:val="single" w:color="auto" w:sz="4" w:space="0"/>
              <w:bottom w:val="single" w:color="auto" w:sz="4" w:space="0"/>
              <w:right w:val="single" w:color="auto" w:sz="4" w:space="0"/>
            </w:tcBorders>
            <w:vAlign w:val="center"/>
          </w:tcPr>
          <w:p w14:paraId="12E63A6E">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8</w:t>
            </w:r>
          </w:p>
        </w:tc>
        <w:tc>
          <w:tcPr>
            <w:tcW w:w="2132" w:type="dxa"/>
            <w:tcBorders>
              <w:top w:val="single" w:color="auto" w:sz="4" w:space="0"/>
              <w:left w:val="single" w:color="auto" w:sz="4" w:space="0"/>
              <w:bottom w:val="single" w:color="auto" w:sz="4" w:space="0"/>
              <w:right w:val="single" w:color="auto" w:sz="4" w:space="0"/>
            </w:tcBorders>
            <w:vAlign w:val="center"/>
          </w:tcPr>
          <w:p w14:paraId="255C4C86">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税金</w:t>
            </w:r>
          </w:p>
        </w:tc>
        <w:tc>
          <w:tcPr>
            <w:tcW w:w="2132" w:type="dxa"/>
            <w:tcBorders>
              <w:top w:val="single" w:color="auto" w:sz="4" w:space="0"/>
              <w:left w:val="single" w:color="auto" w:sz="4" w:space="0"/>
              <w:bottom w:val="single" w:color="auto" w:sz="4" w:space="0"/>
              <w:right w:val="single" w:color="auto" w:sz="4" w:space="0"/>
            </w:tcBorders>
            <w:vAlign w:val="center"/>
          </w:tcPr>
          <w:p w14:paraId="60F0763B">
            <w:pPr>
              <w:spacing w:line="400" w:lineRule="exact"/>
              <w:jc w:val="center"/>
              <w:rPr>
                <w:rFonts w:hint="eastAsia" w:ascii="宋体" w:hAnsi="宋体" w:cs="宋体"/>
                <w:color w:val="auto"/>
                <w:szCs w:val="21"/>
                <w:highlight w:val="none"/>
              </w:rPr>
            </w:pPr>
          </w:p>
        </w:tc>
        <w:tc>
          <w:tcPr>
            <w:tcW w:w="2131" w:type="dxa"/>
            <w:tcBorders>
              <w:top w:val="single" w:color="auto" w:sz="4" w:space="0"/>
              <w:left w:val="single" w:color="auto" w:sz="4" w:space="0"/>
              <w:bottom w:val="single" w:color="auto" w:sz="4" w:space="0"/>
              <w:right w:val="single" w:color="auto" w:sz="4" w:space="0"/>
            </w:tcBorders>
            <w:vAlign w:val="center"/>
          </w:tcPr>
          <w:p w14:paraId="03F49CFD">
            <w:pPr>
              <w:spacing w:line="400" w:lineRule="exact"/>
              <w:jc w:val="center"/>
              <w:rPr>
                <w:rFonts w:hint="eastAsia" w:ascii="宋体" w:hAnsi="宋体" w:cs="宋体"/>
                <w:color w:val="auto"/>
                <w:szCs w:val="21"/>
                <w:highlight w:val="none"/>
              </w:rPr>
            </w:pPr>
          </w:p>
        </w:tc>
      </w:tr>
      <w:tr w14:paraId="765142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2127" w:type="dxa"/>
            <w:tcBorders>
              <w:top w:val="single" w:color="auto" w:sz="4" w:space="0"/>
              <w:left w:val="single" w:color="auto" w:sz="4" w:space="0"/>
              <w:bottom w:val="single" w:color="auto" w:sz="4" w:space="0"/>
              <w:right w:val="single" w:color="auto" w:sz="4" w:space="0"/>
            </w:tcBorders>
            <w:vAlign w:val="center"/>
          </w:tcPr>
          <w:p w14:paraId="162F6AD4">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9</w:t>
            </w:r>
          </w:p>
        </w:tc>
        <w:tc>
          <w:tcPr>
            <w:tcW w:w="2132" w:type="dxa"/>
            <w:tcBorders>
              <w:top w:val="single" w:color="auto" w:sz="4" w:space="0"/>
              <w:left w:val="single" w:color="auto" w:sz="4" w:space="0"/>
              <w:bottom w:val="single" w:color="auto" w:sz="4" w:space="0"/>
              <w:right w:val="single" w:color="auto" w:sz="4" w:space="0"/>
            </w:tcBorders>
            <w:vAlign w:val="center"/>
          </w:tcPr>
          <w:p w14:paraId="34220D13">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管理费</w:t>
            </w:r>
          </w:p>
        </w:tc>
        <w:tc>
          <w:tcPr>
            <w:tcW w:w="2132" w:type="dxa"/>
            <w:tcBorders>
              <w:top w:val="single" w:color="auto" w:sz="4" w:space="0"/>
              <w:left w:val="single" w:color="auto" w:sz="4" w:space="0"/>
              <w:bottom w:val="single" w:color="auto" w:sz="4" w:space="0"/>
              <w:right w:val="single" w:color="auto" w:sz="4" w:space="0"/>
            </w:tcBorders>
            <w:vAlign w:val="center"/>
          </w:tcPr>
          <w:p w14:paraId="195C6560">
            <w:pPr>
              <w:spacing w:line="400" w:lineRule="exact"/>
              <w:jc w:val="center"/>
              <w:rPr>
                <w:rFonts w:hint="eastAsia" w:ascii="宋体" w:hAnsi="宋体" w:cs="宋体"/>
                <w:color w:val="auto"/>
                <w:szCs w:val="21"/>
                <w:highlight w:val="none"/>
              </w:rPr>
            </w:pPr>
          </w:p>
        </w:tc>
        <w:tc>
          <w:tcPr>
            <w:tcW w:w="2131" w:type="dxa"/>
            <w:tcBorders>
              <w:top w:val="single" w:color="auto" w:sz="4" w:space="0"/>
              <w:left w:val="single" w:color="auto" w:sz="4" w:space="0"/>
              <w:bottom w:val="single" w:color="auto" w:sz="4" w:space="0"/>
              <w:right w:val="single" w:color="auto" w:sz="4" w:space="0"/>
            </w:tcBorders>
            <w:vAlign w:val="center"/>
          </w:tcPr>
          <w:p w14:paraId="08A9D4B1">
            <w:pPr>
              <w:spacing w:line="400" w:lineRule="exact"/>
              <w:jc w:val="center"/>
              <w:rPr>
                <w:rFonts w:hint="eastAsia" w:ascii="宋体" w:hAnsi="宋体" w:cs="宋体"/>
                <w:color w:val="auto"/>
                <w:szCs w:val="21"/>
                <w:highlight w:val="none"/>
              </w:rPr>
            </w:pPr>
          </w:p>
        </w:tc>
      </w:tr>
      <w:tr w14:paraId="57E24B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2127" w:type="dxa"/>
            <w:tcBorders>
              <w:top w:val="single" w:color="auto" w:sz="4" w:space="0"/>
              <w:left w:val="single" w:color="auto" w:sz="4" w:space="0"/>
              <w:bottom w:val="single" w:color="auto" w:sz="4" w:space="0"/>
              <w:right w:val="single" w:color="auto" w:sz="4" w:space="0"/>
            </w:tcBorders>
            <w:vAlign w:val="center"/>
          </w:tcPr>
          <w:p w14:paraId="266B2514">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10</w:t>
            </w:r>
          </w:p>
        </w:tc>
        <w:tc>
          <w:tcPr>
            <w:tcW w:w="2132" w:type="dxa"/>
            <w:tcBorders>
              <w:top w:val="single" w:color="auto" w:sz="4" w:space="0"/>
              <w:left w:val="single" w:color="auto" w:sz="4" w:space="0"/>
              <w:bottom w:val="single" w:color="auto" w:sz="4" w:space="0"/>
              <w:right w:val="single" w:color="auto" w:sz="4" w:space="0"/>
            </w:tcBorders>
            <w:vAlign w:val="center"/>
          </w:tcPr>
          <w:p w14:paraId="777A3486">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2132" w:type="dxa"/>
            <w:tcBorders>
              <w:top w:val="single" w:color="auto" w:sz="4" w:space="0"/>
              <w:left w:val="single" w:color="auto" w:sz="4" w:space="0"/>
              <w:bottom w:val="single" w:color="auto" w:sz="4" w:space="0"/>
              <w:right w:val="single" w:color="auto" w:sz="4" w:space="0"/>
            </w:tcBorders>
            <w:vAlign w:val="center"/>
          </w:tcPr>
          <w:p w14:paraId="263DE4BA">
            <w:pPr>
              <w:spacing w:line="400" w:lineRule="exact"/>
              <w:jc w:val="center"/>
              <w:rPr>
                <w:rFonts w:hint="eastAsia" w:ascii="宋体" w:hAnsi="宋体" w:cs="宋体"/>
                <w:color w:val="auto"/>
                <w:szCs w:val="21"/>
                <w:highlight w:val="none"/>
              </w:rPr>
            </w:pPr>
          </w:p>
        </w:tc>
        <w:tc>
          <w:tcPr>
            <w:tcW w:w="2131" w:type="dxa"/>
            <w:tcBorders>
              <w:top w:val="single" w:color="auto" w:sz="4" w:space="0"/>
              <w:left w:val="single" w:color="auto" w:sz="4" w:space="0"/>
              <w:bottom w:val="single" w:color="auto" w:sz="4" w:space="0"/>
              <w:right w:val="single" w:color="auto" w:sz="4" w:space="0"/>
            </w:tcBorders>
            <w:vAlign w:val="center"/>
          </w:tcPr>
          <w:p w14:paraId="2F7C8AB7">
            <w:pPr>
              <w:spacing w:line="400" w:lineRule="exact"/>
              <w:jc w:val="center"/>
              <w:rPr>
                <w:rFonts w:hint="eastAsia" w:ascii="宋体" w:hAnsi="宋体" w:cs="宋体"/>
                <w:color w:val="auto"/>
                <w:szCs w:val="21"/>
                <w:highlight w:val="none"/>
              </w:rPr>
            </w:pPr>
          </w:p>
        </w:tc>
      </w:tr>
      <w:tr w14:paraId="568421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2127" w:type="dxa"/>
            <w:tcBorders>
              <w:top w:val="single" w:color="auto" w:sz="4" w:space="0"/>
              <w:left w:val="single" w:color="auto" w:sz="4" w:space="0"/>
              <w:bottom w:val="single" w:color="auto" w:sz="4" w:space="0"/>
              <w:right w:val="single" w:color="auto" w:sz="4" w:space="0"/>
            </w:tcBorders>
            <w:vAlign w:val="center"/>
          </w:tcPr>
          <w:p w14:paraId="1F763541">
            <w:pPr>
              <w:spacing w:line="400" w:lineRule="exact"/>
              <w:jc w:val="center"/>
              <w:rPr>
                <w:rFonts w:hint="eastAsia" w:ascii="宋体" w:hAnsi="宋体" w:cs="宋体"/>
                <w:color w:val="auto"/>
                <w:szCs w:val="21"/>
                <w:highlight w:val="none"/>
              </w:rPr>
            </w:pPr>
          </w:p>
        </w:tc>
        <w:tc>
          <w:tcPr>
            <w:tcW w:w="2132" w:type="dxa"/>
            <w:tcBorders>
              <w:top w:val="single" w:color="auto" w:sz="4" w:space="0"/>
              <w:left w:val="single" w:color="auto" w:sz="4" w:space="0"/>
              <w:bottom w:val="single" w:color="auto" w:sz="4" w:space="0"/>
              <w:right w:val="single" w:color="auto" w:sz="4" w:space="0"/>
            </w:tcBorders>
            <w:vAlign w:val="center"/>
          </w:tcPr>
          <w:p w14:paraId="14E5BF5B">
            <w:pPr>
              <w:spacing w:line="400" w:lineRule="exact"/>
              <w:rPr>
                <w:rFonts w:hint="eastAsia" w:ascii="宋体" w:hAnsi="宋体" w:cs="宋体"/>
                <w:color w:val="auto"/>
                <w:szCs w:val="21"/>
                <w:highlight w:val="none"/>
              </w:rPr>
            </w:pPr>
          </w:p>
        </w:tc>
        <w:tc>
          <w:tcPr>
            <w:tcW w:w="2132" w:type="dxa"/>
            <w:tcBorders>
              <w:top w:val="single" w:color="auto" w:sz="4" w:space="0"/>
              <w:left w:val="single" w:color="auto" w:sz="4" w:space="0"/>
              <w:bottom w:val="single" w:color="auto" w:sz="4" w:space="0"/>
              <w:right w:val="single" w:color="auto" w:sz="4" w:space="0"/>
            </w:tcBorders>
            <w:vAlign w:val="center"/>
          </w:tcPr>
          <w:p w14:paraId="4CEAB723">
            <w:pPr>
              <w:spacing w:line="400" w:lineRule="exact"/>
              <w:jc w:val="center"/>
              <w:rPr>
                <w:rFonts w:hint="eastAsia" w:ascii="宋体" w:hAnsi="宋体" w:cs="宋体"/>
                <w:color w:val="auto"/>
                <w:szCs w:val="21"/>
                <w:highlight w:val="none"/>
              </w:rPr>
            </w:pPr>
          </w:p>
        </w:tc>
        <w:tc>
          <w:tcPr>
            <w:tcW w:w="2131" w:type="dxa"/>
            <w:tcBorders>
              <w:top w:val="single" w:color="auto" w:sz="4" w:space="0"/>
              <w:left w:val="single" w:color="auto" w:sz="4" w:space="0"/>
              <w:bottom w:val="single" w:color="auto" w:sz="4" w:space="0"/>
              <w:right w:val="single" w:color="auto" w:sz="4" w:space="0"/>
            </w:tcBorders>
            <w:vAlign w:val="center"/>
          </w:tcPr>
          <w:p w14:paraId="63809294">
            <w:pPr>
              <w:spacing w:line="400" w:lineRule="exact"/>
              <w:jc w:val="center"/>
              <w:rPr>
                <w:rFonts w:hint="eastAsia" w:ascii="宋体" w:hAnsi="宋体" w:cs="宋体"/>
                <w:color w:val="auto"/>
                <w:szCs w:val="21"/>
                <w:highlight w:val="none"/>
              </w:rPr>
            </w:pPr>
          </w:p>
        </w:tc>
      </w:tr>
      <w:tr w14:paraId="4A3FF7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7" w:hRule="atLeast"/>
        </w:trPr>
        <w:tc>
          <w:tcPr>
            <w:tcW w:w="2127" w:type="dxa"/>
            <w:tcBorders>
              <w:top w:val="single" w:color="auto" w:sz="4" w:space="0"/>
              <w:left w:val="single" w:color="auto" w:sz="4" w:space="0"/>
              <w:bottom w:val="single" w:color="auto" w:sz="4" w:space="0"/>
              <w:right w:val="single" w:color="auto" w:sz="4" w:space="0"/>
            </w:tcBorders>
            <w:vAlign w:val="center"/>
          </w:tcPr>
          <w:p w14:paraId="2616DCCA">
            <w:pPr>
              <w:spacing w:line="400" w:lineRule="exact"/>
              <w:ind w:firstLine="938"/>
              <w:rPr>
                <w:rFonts w:hint="eastAsia" w:ascii="宋体" w:hAnsi="宋体" w:cs="宋体"/>
                <w:b/>
                <w:color w:val="auto"/>
                <w:szCs w:val="21"/>
                <w:highlight w:val="none"/>
              </w:rPr>
            </w:pPr>
            <w:r>
              <w:rPr>
                <w:rFonts w:hint="eastAsia" w:ascii="宋体" w:hAnsi="宋体" w:cs="宋体"/>
                <w:b/>
                <w:color w:val="auto"/>
                <w:szCs w:val="21"/>
                <w:highlight w:val="none"/>
              </w:rPr>
              <w:t xml:space="preserve">合计 </w:t>
            </w:r>
          </w:p>
        </w:tc>
        <w:tc>
          <w:tcPr>
            <w:tcW w:w="6395" w:type="dxa"/>
            <w:gridSpan w:val="3"/>
            <w:tcBorders>
              <w:top w:val="single" w:color="auto" w:sz="4" w:space="0"/>
              <w:left w:val="single" w:color="auto" w:sz="4" w:space="0"/>
              <w:bottom w:val="single" w:color="auto" w:sz="4" w:space="0"/>
              <w:right w:val="single" w:color="auto" w:sz="4" w:space="0"/>
            </w:tcBorders>
            <w:vAlign w:val="center"/>
          </w:tcPr>
          <w:p w14:paraId="5620FABD">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大写：人民币</w:t>
            </w:r>
          </w:p>
        </w:tc>
      </w:tr>
    </w:tbl>
    <w:p w14:paraId="131371AF">
      <w:pPr>
        <w:pStyle w:val="243"/>
        <w:spacing w:line="440" w:lineRule="exact"/>
        <w:ind w:firstLine="105"/>
        <w:rPr>
          <w:rFonts w:hint="eastAsia" w:hAnsi="宋体" w:cs="宋体"/>
          <w:color w:val="auto"/>
          <w:sz w:val="21"/>
          <w:szCs w:val="21"/>
          <w:highlight w:val="none"/>
        </w:rPr>
      </w:pPr>
      <w:r>
        <w:rPr>
          <w:rFonts w:hint="eastAsia" w:hAnsi="宋体" w:cs="宋体"/>
          <w:color w:val="auto"/>
          <w:sz w:val="21"/>
          <w:szCs w:val="21"/>
          <w:highlight w:val="none"/>
        </w:rPr>
        <w:t>响应单位：（公章）</w:t>
      </w:r>
    </w:p>
    <w:p w14:paraId="6BFD0F1A">
      <w:pPr>
        <w:pStyle w:val="243"/>
        <w:spacing w:line="440" w:lineRule="exact"/>
        <w:ind w:firstLine="105"/>
        <w:rPr>
          <w:rFonts w:hint="eastAsia" w:hAnsi="宋体" w:cs="宋体"/>
          <w:color w:val="auto"/>
          <w:sz w:val="21"/>
          <w:szCs w:val="21"/>
          <w:highlight w:val="none"/>
        </w:rPr>
      </w:pPr>
      <w:r>
        <w:rPr>
          <w:rFonts w:hint="eastAsia" w:hAnsi="宋体" w:cs="宋体"/>
          <w:color w:val="auto"/>
          <w:sz w:val="21"/>
          <w:szCs w:val="21"/>
          <w:highlight w:val="none"/>
        </w:rPr>
        <w:t>法定代表人或代理人：（签字或盖章）</w:t>
      </w:r>
    </w:p>
    <w:p w14:paraId="6639520D">
      <w:pPr>
        <w:pStyle w:val="12"/>
        <w:spacing w:line="440" w:lineRule="exact"/>
        <w:ind w:firstLine="0"/>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 日期：         年    月     日</w:t>
      </w:r>
    </w:p>
    <w:p w14:paraId="400DB56F">
      <w:pPr>
        <w:pStyle w:val="240"/>
        <w:spacing w:line="360" w:lineRule="auto"/>
        <w:ind w:firstLine="315"/>
        <w:rPr>
          <w:rFonts w:hint="eastAsia" w:hAnsi="宋体" w:eastAsia="宋体" w:cs="宋体"/>
          <w:color w:val="auto"/>
          <w:sz w:val="21"/>
          <w:szCs w:val="21"/>
          <w:highlight w:val="none"/>
        </w:rPr>
      </w:pPr>
    </w:p>
    <w:p w14:paraId="68F62EB3">
      <w:pPr>
        <w:pStyle w:val="240"/>
        <w:spacing w:line="360" w:lineRule="auto"/>
        <w:ind w:firstLine="315"/>
        <w:rPr>
          <w:rFonts w:hint="eastAsia" w:hAnsi="宋体" w:eastAsia="宋体" w:cs="宋体"/>
          <w:color w:val="auto"/>
          <w:sz w:val="21"/>
          <w:szCs w:val="21"/>
          <w:highlight w:val="none"/>
        </w:rPr>
      </w:pPr>
      <w:r>
        <w:rPr>
          <w:rFonts w:hint="eastAsia" w:hAnsi="宋体" w:eastAsia="宋体" w:cs="宋体"/>
          <w:color w:val="auto"/>
          <w:sz w:val="21"/>
          <w:szCs w:val="21"/>
          <w:highlight w:val="none"/>
        </w:rPr>
        <w:t>说明：</w:t>
      </w:r>
    </w:p>
    <w:p w14:paraId="476A7EE4">
      <w:pPr>
        <w:pStyle w:val="240"/>
        <w:spacing w:line="360" w:lineRule="auto"/>
        <w:ind w:firstLine="315"/>
        <w:rPr>
          <w:rFonts w:hint="eastAsia" w:hAnsi="宋体" w:eastAsia="宋体" w:cs="宋体"/>
          <w:color w:val="auto"/>
          <w:sz w:val="21"/>
          <w:szCs w:val="21"/>
          <w:highlight w:val="none"/>
        </w:rPr>
      </w:pPr>
      <w:r>
        <w:rPr>
          <w:rFonts w:hint="eastAsia" w:hAnsi="宋体" w:eastAsia="宋体" w:cs="宋体"/>
          <w:color w:val="auto"/>
          <w:sz w:val="21"/>
          <w:szCs w:val="21"/>
          <w:highlight w:val="none"/>
        </w:rPr>
        <w:t>1、报价表包含投标单位各项成本核算和投入的成本明细，投标报价分析表一的合计金额与表二的合计金额应与开标一览表合计金额一致；否则，以开标一览表为准。</w:t>
      </w:r>
    </w:p>
    <w:p w14:paraId="5B92BFF3">
      <w:pPr>
        <w:pStyle w:val="240"/>
        <w:spacing w:line="360" w:lineRule="auto"/>
        <w:ind w:firstLine="315"/>
        <w:rPr>
          <w:rFonts w:hint="eastAsia" w:hAnsi="宋体" w:eastAsia="宋体" w:cs="宋体"/>
          <w:color w:val="auto"/>
          <w:sz w:val="21"/>
          <w:szCs w:val="21"/>
          <w:highlight w:val="none"/>
        </w:rPr>
      </w:pPr>
      <w:r>
        <w:rPr>
          <w:rFonts w:hint="eastAsia" w:hAnsi="宋体" w:eastAsia="宋体" w:cs="宋体"/>
          <w:color w:val="auto"/>
          <w:sz w:val="21"/>
          <w:szCs w:val="21"/>
          <w:highlight w:val="none"/>
        </w:rPr>
        <w:t>2、条目举例如下：人工成本、损耗、办公设备、服装、通讯器材、巡检器材、税金、维护、利润等各项费用等等。不限于此，可自行添加。</w:t>
      </w:r>
    </w:p>
    <w:p w14:paraId="27DAC64A">
      <w:pPr>
        <w:spacing w:line="360" w:lineRule="auto"/>
        <w:jc w:val="center"/>
        <w:rPr>
          <w:b/>
          <w:bCs/>
          <w:color w:val="auto"/>
          <w:szCs w:val="21"/>
          <w:highlight w:val="none"/>
        </w:rPr>
      </w:pPr>
      <w:r>
        <w:rPr>
          <w:b/>
          <w:bCs/>
          <w:color w:val="auto"/>
          <w:szCs w:val="21"/>
          <w:highlight w:val="none"/>
        </w:rPr>
        <w:br w:type="page" w:clear="all"/>
      </w:r>
      <w:r>
        <w:rPr>
          <w:b/>
          <w:bCs/>
          <w:color w:val="auto"/>
          <w:szCs w:val="21"/>
          <w:highlight w:val="none"/>
        </w:rPr>
        <w:t>格式</w:t>
      </w:r>
      <w:r>
        <w:rPr>
          <w:rFonts w:hint="eastAsia"/>
          <w:b/>
          <w:bCs/>
          <w:color w:val="auto"/>
          <w:szCs w:val="21"/>
          <w:highlight w:val="none"/>
        </w:rPr>
        <w:t>5</w:t>
      </w:r>
      <w:r>
        <w:rPr>
          <w:b/>
          <w:bCs/>
          <w:color w:val="auto"/>
          <w:szCs w:val="21"/>
          <w:highlight w:val="none"/>
        </w:rPr>
        <w:t>：</w:t>
      </w:r>
      <w:bookmarkEnd w:id="41"/>
      <w:bookmarkEnd w:id="42"/>
      <w:r>
        <w:rPr>
          <w:b/>
          <w:bCs/>
          <w:color w:val="auto"/>
          <w:szCs w:val="21"/>
          <w:highlight w:val="none"/>
        </w:rPr>
        <w:t>服务条款偏离表</w:t>
      </w:r>
      <w:r>
        <w:rPr>
          <w:rFonts w:hint="eastAsia" w:cs="宋体"/>
          <w:b/>
          <w:bCs/>
          <w:color w:val="auto"/>
          <w:szCs w:val="21"/>
          <w:highlight w:val="none"/>
        </w:rPr>
        <w:t>、商务条款偏离表</w:t>
      </w:r>
    </w:p>
    <w:p w14:paraId="0EF5C5C6">
      <w:pPr>
        <w:spacing w:before="156" w:after="468" w:line="360" w:lineRule="auto"/>
        <w:jc w:val="center"/>
        <w:rPr>
          <w:b/>
          <w:bCs/>
          <w:color w:val="auto"/>
          <w:spacing w:val="20"/>
          <w:szCs w:val="21"/>
          <w:highlight w:val="none"/>
        </w:rPr>
      </w:pPr>
      <w:r>
        <w:rPr>
          <w:b/>
          <w:bCs/>
          <w:color w:val="auto"/>
          <w:spacing w:val="20"/>
          <w:szCs w:val="21"/>
          <w:highlight w:val="none"/>
        </w:rPr>
        <w:t>服务条款偏离表</w:t>
      </w:r>
    </w:p>
    <w:p w14:paraId="05B0FBF3">
      <w:pPr>
        <w:spacing w:line="360" w:lineRule="auto"/>
        <w:rPr>
          <w:color w:val="auto"/>
          <w:szCs w:val="21"/>
          <w:highlight w:val="none"/>
        </w:rPr>
      </w:pPr>
      <w:r>
        <w:rPr>
          <w:color w:val="auto"/>
          <w:szCs w:val="21"/>
          <w:highlight w:val="none"/>
        </w:rPr>
        <w:t>项目名称：</w:t>
      </w:r>
    </w:p>
    <w:p w14:paraId="71BE4389">
      <w:pPr>
        <w:spacing w:line="360" w:lineRule="auto"/>
        <w:rPr>
          <w:color w:val="auto"/>
          <w:szCs w:val="21"/>
          <w:highlight w:val="none"/>
          <w:u w:val="single"/>
        </w:rPr>
      </w:pPr>
      <w:r>
        <w:rPr>
          <w:color w:val="auto"/>
          <w:szCs w:val="21"/>
          <w:highlight w:val="none"/>
        </w:rPr>
        <w:t>项目编号：</w:t>
      </w:r>
    </w:p>
    <w:tbl>
      <w:tblPr>
        <w:tblStyle w:val="43"/>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690"/>
        <w:gridCol w:w="2727"/>
        <w:gridCol w:w="1418"/>
        <w:gridCol w:w="1701"/>
      </w:tblGrid>
      <w:tr w14:paraId="75B5B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2" w:hRule="atLeast"/>
        </w:trPr>
        <w:tc>
          <w:tcPr>
            <w:tcW w:w="828" w:type="dxa"/>
            <w:vAlign w:val="center"/>
          </w:tcPr>
          <w:p w14:paraId="2B31C9B2">
            <w:pPr>
              <w:jc w:val="center"/>
              <w:rPr>
                <w:rFonts w:ascii="Calibri" w:hAnsi="Calibri"/>
                <w:b/>
                <w:bCs/>
                <w:color w:val="auto"/>
                <w:szCs w:val="21"/>
                <w:highlight w:val="none"/>
              </w:rPr>
            </w:pPr>
            <w:r>
              <w:rPr>
                <w:rFonts w:ascii="Calibri" w:hAnsi="Calibri"/>
                <w:b/>
                <w:bCs/>
                <w:color w:val="auto"/>
                <w:szCs w:val="21"/>
                <w:highlight w:val="none"/>
              </w:rPr>
              <w:t>序号</w:t>
            </w:r>
          </w:p>
        </w:tc>
        <w:tc>
          <w:tcPr>
            <w:tcW w:w="1690" w:type="dxa"/>
            <w:vAlign w:val="center"/>
          </w:tcPr>
          <w:p w14:paraId="30136CEF">
            <w:pPr>
              <w:jc w:val="center"/>
              <w:rPr>
                <w:rFonts w:ascii="Calibri" w:hAnsi="Calibri"/>
                <w:b/>
                <w:bCs/>
                <w:color w:val="auto"/>
                <w:szCs w:val="21"/>
                <w:highlight w:val="none"/>
              </w:rPr>
            </w:pPr>
            <w:r>
              <w:rPr>
                <w:rFonts w:ascii="Calibri" w:hAnsi="Calibri"/>
                <w:b/>
                <w:bCs/>
                <w:color w:val="auto"/>
                <w:szCs w:val="21"/>
                <w:highlight w:val="none"/>
              </w:rPr>
              <w:t>名称</w:t>
            </w:r>
          </w:p>
        </w:tc>
        <w:tc>
          <w:tcPr>
            <w:tcW w:w="2727" w:type="dxa"/>
            <w:vAlign w:val="center"/>
          </w:tcPr>
          <w:p w14:paraId="7446DA4C">
            <w:pPr>
              <w:jc w:val="center"/>
              <w:rPr>
                <w:rFonts w:ascii="Calibri" w:hAnsi="Calibri"/>
                <w:b/>
                <w:bCs/>
                <w:color w:val="auto"/>
                <w:szCs w:val="21"/>
                <w:highlight w:val="none"/>
              </w:rPr>
            </w:pPr>
            <w:r>
              <w:rPr>
                <w:rFonts w:ascii="Calibri" w:hAnsi="Calibri"/>
                <w:b/>
                <w:bCs/>
                <w:color w:val="auto"/>
                <w:szCs w:val="21"/>
                <w:highlight w:val="none"/>
              </w:rPr>
              <w:t>文件服务要求</w:t>
            </w:r>
          </w:p>
        </w:tc>
        <w:tc>
          <w:tcPr>
            <w:tcW w:w="1418" w:type="dxa"/>
            <w:vAlign w:val="center"/>
          </w:tcPr>
          <w:p w14:paraId="5D318EC4">
            <w:pPr>
              <w:jc w:val="center"/>
              <w:rPr>
                <w:rFonts w:ascii="Calibri" w:hAnsi="Calibri"/>
                <w:b/>
                <w:bCs/>
                <w:color w:val="auto"/>
                <w:szCs w:val="21"/>
                <w:highlight w:val="none"/>
              </w:rPr>
            </w:pPr>
            <w:r>
              <w:rPr>
                <w:rFonts w:ascii="Calibri" w:hAnsi="Calibri"/>
                <w:b/>
                <w:bCs/>
                <w:color w:val="auto"/>
                <w:szCs w:val="21"/>
                <w:highlight w:val="none"/>
              </w:rPr>
              <w:t>响应文件响应情况</w:t>
            </w:r>
          </w:p>
        </w:tc>
        <w:tc>
          <w:tcPr>
            <w:tcW w:w="1701" w:type="dxa"/>
            <w:vAlign w:val="center"/>
          </w:tcPr>
          <w:p w14:paraId="513EEA77">
            <w:pPr>
              <w:jc w:val="center"/>
              <w:rPr>
                <w:rFonts w:ascii="Calibri" w:hAnsi="Calibri"/>
                <w:b/>
                <w:bCs/>
                <w:color w:val="auto"/>
                <w:szCs w:val="21"/>
                <w:highlight w:val="none"/>
              </w:rPr>
            </w:pPr>
            <w:r>
              <w:rPr>
                <w:rFonts w:ascii="Calibri" w:hAnsi="Calibri"/>
                <w:b/>
                <w:bCs/>
                <w:color w:val="auto"/>
                <w:szCs w:val="21"/>
                <w:highlight w:val="none"/>
              </w:rPr>
              <w:t>偏离说明</w:t>
            </w:r>
          </w:p>
        </w:tc>
      </w:tr>
      <w:tr w14:paraId="05859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vAlign w:val="center"/>
          </w:tcPr>
          <w:p w14:paraId="57E09F7E">
            <w:pPr>
              <w:jc w:val="center"/>
              <w:rPr>
                <w:rFonts w:ascii="Calibri" w:hAnsi="Calibri"/>
                <w:color w:val="auto"/>
                <w:szCs w:val="21"/>
                <w:highlight w:val="none"/>
              </w:rPr>
            </w:pPr>
          </w:p>
        </w:tc>
        <w:tc>
          <w:tcPr>
            <w:tcW w:w="1690" w:type="dxa"/>
            <w:vAlign w:val="center"/>
          </w:tcPr>
          <w:p w14:paraId="5F53891A">
            <w:pPr>
              <w:jc w:val="center"/>
              <w:rPr>
                <w:rFonts w:ascii="Calibri" w:hAnsi="Calibri"/>
                <w:color w:val="auto"/>
                <w:szCs w:val="21"/>
                <w:highlight w:val="none"/>
              </w:rPr>
            </w:pPr>
          </w:p>
        </w:tc>
        <w:tc>
          <w:tcPr>
            <w:tcW w:w="2727" w:type="dxa"/>
            <w:vAlign w:val="center"/>
          </w:tcPr>
          <w:p w14:paraId="22BF8C9A">
            <w:pPr>
              <w:rPr>
                <w:rFonts w:ascii="Calibri" w:hAnsi="Calibri"/>
                <w:color w:val="auto"/>
                <w:szCs w:val="21"/>
                <w:highlight w:val="none"/>
              </w:rPr>
            </w:pPr>
          </w:p>
        </w:tc>
        <w:tc>
          <w:tcPr>
            <w:tcW w:w="1418" w:type="dxa"/>
            <w:vAlign w:val="center"/>
          </w:tcPr>
          <w:p w14:paraId="2981C7D7">
            <w:pPr>
              <w:rPr>
                <w:rFonts w:ascii="Calibri" w:hAnsi="Calibri"/>
                <w:color w:val="auto"/>
                <w:szCs w:val="21"/>
                <w:highlight w:val="none"/>
              </w:rPr>
            </w:pPr>
          </w:p>
        </w:tc>
        <w:tc>
          <w:tcPr>
            <w:tcW w:w="1701" w:type="dxa"/>
          </w:tcPr>
          <w:p w14:paraId="72DC390D">
            <w:pPr>
              <w:rPr>
                <w:rFonts w:ascii="Calibri" w:hAnsi="Calibri"/>
                <w:color w:val="auto"/>
                <w:szCs w:val="21"/>
                <w:highlight w:val="none"/>
              </w:rPr>
            </w:pPr>
          </w:p>
        </w:tc>
      </w:tr>
      <w:tr w14:paraId="5E5CD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vAlign w:val="center"/>
          </w:tcPr>
          <w:p w14:paraId="72460F54">
            <w:pPr>
              <w:jc w:val="center"/>
              <w:rPr>
                <w:rFonts w:ascii="Calibri" w:hAnsi="Calibri"/>
                <w:color w:val="auto"/>
                <w:szCs w:val="21"/>
                <w:highlight w:val="none"/>
              </w:rPr>
            </w:pPr>
          </w:p>
        </w:tc>
        <w:tc>
          <w:tcPr>
            <w:tcW w:w="1690" w:type="dxa"/>
            <w:vAlign w:val="center"/>
          </w:tcPr>
          <w:p w14:paraId="04C6EB14">
            <w:pPr>
              <w:jc w:val="center"/>
              <w:rPr>
                <w:rFonts w:ascii="Calibri" w:hAnsi="Calibri"/>
                <w:color w:val="auto"/>
                <w:szCs w:val="21"/>
                <w:highlight w:val="none"/>
              </w:rPr>
            </w:pPr>
          </w:p>
        </w:tc>
        <w:tc>
          <w:tcPr>
            <w:tcW w:w="2727" w:type="dxa"/>
            <w:vAlign w:val="center"/>
          </w:tcPr>
          <w:p w14:paraId="5E34FE8F">
            <w:pPr>
              <w:rPr>
                <w:rFonts w:ascii="Calibri" w:hAnsi="Calibri"/>
                <w:color w:val="auto"/>
                <w:szCs w:val="21"/>
                <w:highlight w:val="none"/>
              </w:rPr>
            </w:pPr>
          </w:p>
        </w:tc>
        <w:tc>
          <w:tcPr>
            <w:tcW w:w="1418" w:type="dxa"/>
            <w:vAlign w:val="center"/>
          </w:tcPr>
          <w:p w14:paraId="321698CE">
            <w:pPr>
              <w:rPr>
                <w:rFonts w:ascii="Calibri" w:hAnsi="Calibri"/>
                <w:color w:val="auto"/>
                <w:szCs w:val="21"/>
                <w:highlight w:val="none"/>
              </w:rPr>
            </w:pPr>
          </w:p>
        </w:tc>
        <w:tc>
          <w:tcPr>
            <w:tcW w:w="1701" w:type="dxa"/>
          </w:tcPr>
          <w:p w14:paraId="27F0DD0C">
            <w:pPr>
              <w:rPr>
                <w:rFonts w:ascii="Calibri" w:hAnsi="Calibri"/>
                <w:color w:val="auto"/>
                <w:szCs w:val="21"/>
                <w:highlight w:val="none"/>
              </w:rPr>
            </w:pPr>
          </w:p>
        </w:tc>
      </w:tr>
      <w:tr w14:paraId="22B4B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vAlign w:val="center"/>
          </w:tcPr>
          <w:p w14:paraId="29B3DE5B">
            <w:pPr>
              <w:jc w:val="center"/>
              <w:rPr>
                <w:rFonts w:ascii="Calibri" w:hAnsi="Calibri"/>
                <w:color w:val="auto"/>
                <w:szCs w:val="21"/>
                <w:highlight w:val="none"/>
              </w:rPr>
            </w:pPr>
          </w:p>
        </w:tc>
        <w:tc>
          <w:tcPr>
            <w:tcW w:w="1690" w:type="dxa"/>
            <w:vAlign w:val="center"/>
          </w:tcPr>
          <w:p w14:paraId="746601DA">
            <w:pPr>
              <w:jc w:val="center"/>
              <w:rPr>
                <w:rFonts w:ascii="Calibri" w:hAnsi="Calibri"/>
                <w:color w:val="auto"/>
                <w:szCs w:val="21"/>
                <w:highlight w:val="none"/>
              </w:rPr>
            </w:pPr>
          </w:p>
        </w:tc>
        <w:tc>
          <w:tcPr>
            <w:tcW w:w="2727" w:type="dxa"/>
            <w:vAlign w:val="center"/>
          </w:tcPr>
          <w:p w14:paraId="0861FC43">
            <w:pPr>
              <w:rPr>
                <w:rFonts w:ascii="Calibri" w:hAnsi="Calibri"/>
                <w:color w:val="auto"/>
                <w:szCs w:val="21"/>
                <w:highlight w:val="none"/>
              </w:rPr>
            </w:pPr>
          </w:p>
        </w:tc>
        <w:tc>
          <w:tcPr>
            <w:tcW w:w="1418" w:type="dxa"/>
            <w:vAlign w:val="center"/>
          </w:tcPr>
          <w:p w14:paraId="321757C1">
            <w:pPr>
              <w:rPr>
                <w:rFonts w:ascii="Calibri" w:hAnsi="Calibri"/>
                <w:color w:val="auto"/>
                <w:szCs w:val="21"/>
                <w:highlight w:val="none"/>
              </w:rPr>
            </w:pPr>
          </w:p>
        </w:tc>
        <w:tc>
          <w:tcPr>
            <w:tcW w:w="1701" w:type="dxa"/>
          </w:tcPr>
          <w:p w14:paraId="448E508B">
            <w:pPr>
              <w:rPr>
                <w:rFonts w:ascii="Calibri" w:hAnsi="Calibri"/>
                <w:color w:val="auto"/>
                <w:szCs w:val="21"/>
                <w:highlight w:val="none"/>
              </w:rPr>
            </w:pPr>
          </w:p>
        </w:tc>
      </w:tr>
      <w:tr w14:paraId="41207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vAlign w:val="center"/>
          </w:tcPr>
          <w:p w14:paraId="0B023A66">
            <w:pPr>
              <w:jc w:val="center"/>
              <w:rPr>
                <w:rFonts w:ascii="Calibri" w:hAnsi="Calibri"/>
                <w:color w:val="auto"/>
                <w:szCs w:val="21"/>
                <w:highlight w:val="none"/>
              </w:rPr>
            </w:pPr>
          </w:p>
        </w:tc>
        <w:tc>
          <w:tcPr>
            <w:tcW w:w="1690" w:type="dxa"/>
            <w:vAlign w:val="center"/>
          </w:tcPr>
          <w:p w14:paraId="6F8723F5">
            <w:pPr>
              <w:jc w:val="center"/>
              <w:rPr>
                <w:rFonts w:ascii="Calibri" w:hAnsi="Calibri"/>
                <w:color w:val="auto"/>
                <w:szCs w:val="21"/>
                <w:highlight w:val="none"/>
              </w:rPr>
            </w:pPr>
          </w:p>
        </w:tc>
        <w:tc>
          <w:tcPr>
            <w:tcW w:w="2727" w:type="dxa"/>
            <w:vAlign w:val="center"/>
          </w:tcPr>
          <w:p w14:paraId="2E7B6418">
            <w:pPr>
              <w:rPr>
                <w:rFonts w:ascii="Calibri" w:hAnsi="Calibri"/>
                <w:color w:val="auto"/>
                <w:szCs w:val="21"/>
                <w:highlight w:val="none"/>
              </w:rPr>
            </w:pPr>
          </w:p>
        </w:tc>
        <w:tc>
          <w:tcPr>
            <w:tcW w:w="1418" w:type="dxa"/>
            <w:vAlign w:val="center"/>
          </w:tcPr>
          <w:p w14:paraId="4EBBAA62">
            <w:pPr>
              <w:rPr>
                <w:rFonts w:ascii="Calibri" w:hAnsi="Calibri"/>
                <w:color w:val="auto"/>
                <w:szCs w:val="21"/>
                <w:highlight w:val="none"/>
              </w:rPr>
            </w:pPr>
          </w:p>
        </w:tc>
        <w:tc>
          <w:tcPr>
            <w:tcW w:w="1701" w:type="dxa"/>
          </w:tcPr>
          <w:p w14:paraId="10845E40">
            <w:pPr>
              <w:rPr>
                <w:rFonts w:ascii="Calibri" w:hAnsi="Calibri"/>
                <w:color w:val="auto"/>
                <w:szCs w:val="21"/>
                <w:highlight w:val="none"/>
              </w:rPr>
            </w:pPr>
          </w:p>
        </w:tc>
      </w:tr>
      <w:tr w14:paraId="71F0C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vAlign w:val="center"/>
          </w:tcPr>
          <w:p w14:paraId="16BF0828">
            <w:pPr>
              <w:jc w:val="center"/>
              <w:rPr>
                <w:rFonts w:ascii="Calibri" w:hAnsi="Calibri"/>
                <w:color w:val="auto"/>
                <w:szCs w:val="21"/>
                <w:highlight w:val="none"/>
              </w:rPr>
            </w:pPr>
          </w:p>
        </w:tc>
        <w:tc>
          <w:tcPr>
            <w:tcW w:w="1690" w:type="dxa"/>
            <w:vAlign w:val="center"/>
          </w:tcPr>
          <w:p w14:paraId="39A89FB4">
            <w:pPr>
              <w:jc w:val="center"/>
              <w:rPr>
                <w:rFonts w:ascii="Calibri" w:hAnsi="Calibri"/>
                <w:color w:val="auto"/>
                <w:szCs w:val="21"/>
                <w:highlight w:val="none"/>
              </w:rPr>
            </w:pPr>
          </w:p>
        </w:tc>
        <w:tc>
          <w:tcPr>
            <w:tcW w:w="2727" w:type="dxa"/>
            <w:vAlign w:val="center"/>
          </w:tcPr>
          <w:p w14:paraId="15038693">
            <w:pPr>
              <w:rPr>
                <w:rFonts w:ascii="Calibri" w:hAnsi="Calibri"/>
                <w:color w:val="auto"/>
                <w:szCs w:val="21"/>
                <w:highlight w:val="none"/>
              </w:rPr>
            </w:pPr>
          </w:p>
        </w:tc>
        <w:tc>
          <w:tcPr>
            <w:tcW w:w="1418" w:type="dxa"/>
            <w:vAlign w:val="center"/>
          </w:tcPr>
          <w:p w14:paraId="434E6222">
            <w:pPr>
              <w:rPr>
                <w:rFonts w:ascii="Calibri" w:hAnsi="Calibri"/>
                <w:color w:val="auto"/>
                <w:szCs w:val="21"/>
                <w:highlight w:val="none"/>
              </w:rPr>
            </w:pPr>
          </w:p>
        </w:tc>
        <w:tc>
          <w:tcPr>
            <w:tcW w:w="1701" w:type="dxa"/>
          </w:tcPr>
          <w:p w14:paraId="31179D0D">
            <w:pPr>
              <w:rPr>
                <w:rFonts w:ascii="Calibri" w:hAnsi="Calibri"/>
                <w:color w:val="auto"/>
                <w:szCs w:val="21"/>
                <w:highlight w:val="none"/>
              </w:rPr>
            </w:pPr>
          </w:p>
        </w:tc>
      </w:tr>
      <w:tr w14:paraId="79374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vAlign w:val="center"/>
          </w:tcPr>
          <w:p w14:paraId="3D43DDBF">
            <w:pPr>
              <w:jc w:val="center"/>
              <w:rPr>
                <w:rFonts w:ascii="Calibri" w:hAnsi="Calibri"/>
                <w:color w:val="auto"/>
                <w:szCs w:val="21"/>
                <w:highlight w:val="none"/>
              </w:rPr>
            </w:pPr>
          </w:p>
        </w:tc>
        <w:tc>
          <w:tcPr>
            <w:tcW w:w="1690" w:type="dxa"/>
            <w:vAlign w:val="center"/>
          </w:tcPr>
          <w:p w14:paraId="6F9EBE54">
            <w:pPr>
              <w:jc w:val="center"/>
              <w:rPr>
                <w:rFonts w:ascii="Calibri" w:hAnsi="Calibri"/>
                <w:color w:val="auto"/>
                <w:szCs w:val="21"/>
                <w:highlight w:val="none"/>
              </w:rPr>
            </w:pPr>
          </w:p>
        </w:tc>
        <w:tc>
          <w:tcPr>
            <w:tcW w:w="2727" w:type="dxa"/>
            <w:vAlign w:val="center"/>
          </w:tcPr>
          <w:p w14:paraId="37F88378">
            <w:pPr>
              <w:rPr>
                <w:rFonts w:ascii="Calibri" w:hAnsi="Calibri"/>
                <w:color w:val="auto"/>
                <w:szCs w:val="21"/>
                <w:highlight w:val="none"/>
              </w:rPr>
            </w:pPr>
          </w:p>
        </w:tc>
        <w:tc>
          <w:tcPr>
            <w:tcW w:w="1418" w:type="dxa"/>
            <w:vAlign w:val="center"/>
          </w:tcPr>
          <w:p w14:paraId="53D85C3F">
            <w:pPr>
              <w:rPr>
                <w:rFonts w:ascii="Calibri" w:hAnsi="Calibri"/>
                <w:color w:val="auto"/>
                <w:szCs w:val="21"/>
                <w:highlight w:val="none"/>
              </w:rPr>
            </w:pPr>
          </w:p>
        </w:tc>
        <w:tc>
          <w:tcPr>
            <w:tcW w:w="1701" w:type="dxa"/>
          </w:tcPr>
          <w:p w14:paraId="2E57CBEF">
            <w:pPr>
              <w:rPr>
                <w:rFonts w:ascii="Calibri" w:hAnsi="Calibri"/>
                <w:color w:val="auto"/>
                <w:szCs w:val="21"/>
                <w:highlight w:val="none"/>
              </w:rPr>
            </w:pPr>
          </w:p>
        </w:tc>
      </w:tr>
      <w:tr w14:paraId="59D9B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vAlign w:val="center"/>
          </w:tcPr>
          <w:p w14:paraId="593765F8">
            <w:pPr>
              <w:jc w:val="center"/>
              <w:rPr>
                <w:rFonts w:ascii="Calibri" w:hAnsi="Calibri"/>
                <w:color w:val="auto"/>
                <w:szCs w:val="21"/>
                <w:highlight w:val="none"/>
              </w:rPr>
            </w:pPr>
          </w:p>
        </w:tc>
        <w:tc>
          <w:tcPr>
            <w:tcW w:w="1690" w:type="dxa"/>
            <w:vAlign w:val="center"/>
          </w:tcPr>
          <w:p w14:paraId="3D4FC69E">
            <w:pPr>
              <w:jc w:val="center"/>
              <w:rPr>
                <w:rFonts w:ascii="Calibri" w:hAnsi="Calibri"/>
                <w:color w:val="auto"/>
                <w:szCs w:val="21"/>
                <w:highlight w:val="none"/>
              </w:rPr>
            </w:pPr>
          </w:p>
        </w:tc>
        <w:tc>
          <w:tcPr>
            <w:tcW w:w="2727" w:type="dxa"/>
            <w:vAlign w:val="center"/>
          </w:tcPr>
          <w:p w14:paraId="388367FA">
            <w:pPr>
              <w:rPr>
                <w:rFonts w:ascii="Calibri" w:hAnsi="Calibri"/>
                <w:color w:val="auto"/>
                <w:szCs w:val="21"/>
                <w:highlight w:val="none"/>
              </w:rPr>
            </w:pPr>
          </w:p>
        </w:tc>
        <w:tc>
          <w:tcPr>
            <w:tcW w:w="1418" w:type="dxa"/>
            <w:vAlign w:val="center"/>
          </w:tcPr>
          <w:p w14:paraId="2438ADBA">
            <w:pPr>
              <w:rPr>
                <w:rFonts w:ascii="Calibri" w:hAnsi="Calibri"/>
                <w:color w:val="auto"/>
                <w:szCs w:val="21"/>
                <w:highlight w:val="none"/>
              </w:rPr>
            </w:pPr>
          </w:p>
        </w:tc>
        <w:tc>
          <w:tcPr>
            <w:tcW w:w="1701" w:type="dxa"/>
          </w:tcPr>
          <w:p w14:paraId="2D6D6C1F">
            <w:pPr>
              <w:rPr>
                <w:rFonts w:ascii="Calibri" w:hAnsi="Calibri"/>
                <w:color w:val="auto"/>
                <w:szCs w:val="21"/>
                <w:highlight w:val="none"/>
              </w:rPr>
            </w:pPr>
          </w:p>
        </w:tc>
      </w:tr>
    </w:tbl>
    <w:p w14:paraId="10BDA831">
      <w:pPr>
        <w:spacing w:line="360" w:lineRule="auto"/>
        <w:rPr>
          <w:b/>
          <w:color w:val="auto"/>
          <w:szCs w:val="21"/>
          <w:highlight w:val="none"/>
        </w:rPr>
      </w:pPr>
      <w:r>
        <w:rPr>
          <w:b/>
          <w:color w:val="auto"/>
          <w:szCs w:val="21"/>
          <w:highlight w:val="none"/>
        </w:rPr>
        <w:t>说明：</w:t>
      </w:r>
    </w:p>
    <w:p w14:paraId="56EA0809">
      <w:pPr>
        <w:spacing w:line="360" w:lineRule="auto"/>
        <w:jc w:val="left"/>
        <w:rPr>
          <w:color w:val="auto"/>
          <w:szCs w:val="21"/>
          <w:highlight w:val="none"/>
        </w:rPr>
      </w:pPr>
      <w:r>
        <w:rPr>
          <w:color w:val="auto"/>
          <w:szCs w:val="21"/>
          <w:highlight w:val="none"/>
        </w:rPr>
        <w:t>1、服务条款内容主要是针对响应文件有关的服务要求等内容。</w:t>
      </w:r>
    </w:p>
    <w:p w14:paraId="6B432FDD">
      <w:pPr>
        <w:spacing w:line="360" w:lineRule="auto"/>
        <w:jc w:val="left"/>
        <w:rPr>
          <w:color w:val="auto"/>
          <w:szCs w:val="21"/>
          <w:highlight w:val="none"/>
        </w:rPr>
      </w:pPr>
      <w:r>
        <w:rPr>
          <w:color w:val="auto"/>
          <w:szCs w:val="21"/>
          <w:highlight w:val="none"/>
        </w:rPr>
        <w:t>2、无偏离应在本表“响应文件响应情况”栏注明“无服务条款偏离”的字样。</w:t>
      </w:r>
    </w:p>
    <w:p w14:paraId="0B900F06">
      <w:pPr>
        <w:spacing w:line="360" w:lineRule="auto"/>
        <w:rPr>
          <w:color w:val="auto"/>
          <w:szCs w:val="21"/>
          <w:highlight w:val="none"/>
        </w:rPr>
      </w:pPr>
    </w:p>
    <w:p w14:paraId="309D15A6">
      <w:pPr>
        <w:pStyle w:val="24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响应</w:t>
      </w:r>
      <w:r>
        <w:rPr>
          <w:rFonts w:ascii="Times New Roman" w:hAnsi="Times New Roman" w:eastAsia="宋体"/>
          <w:color w:val="auto"/>
          <w:sz w:val="21"/>
          <w:szCs w:val="21"/>
          <w:highlight w:val="none"/>
        </w:rPr>
        <w:t xml:space="preserve">单位（公章）：  </w:t>
      </w:r>
    </w:p>
    <w:p w14:paraId="15544B30">
      <w:pPr>
        <w:pStyle w:val="24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法定代表人或代理人：（签字或盖章）</w:t>
      </w:r>
    </w:p>
    <w:p w14:paraId="5DD527A8">
      <w:pPr>
        <w:spacing w:line="360" w:lineRule="auto"/>
        <w:rPr>
          <w:color w:val="auto"/>
          <w:szCs w:val="21"/>
          <w:highlight w:val="none"/>
        </w:rPr>
      </w:pPr>
      <w:r>
        <w:rPr>
          <w:color w:val="auto"/>
          <w:szCs w:val="21"/>
          <w:highlight w:val="none"/>
        </w:rPr>
        <w:t>日期：     年   月   日</w:t>
      </w:r>
    </w:p>
    <w:p w14:paraId="555F5336">
      <w:pPr>
        <w:spacing w:line="360" w:lineRule="auto"/>
        <w:rPr>
          <w:color w:val="auto"/>
          <w:szCs w:val="21"/>
          <w:highlight w:val="none"/>
        </w:rPr>
      </w:pPr>
    </w:p>
    <w:p w14:paraId="45083022">
      <w:pPr>
        <w:spacing w:line="360" w:lineRule="auto"/>
        <w:rPr>
          <w:rFonts w:hint="eastAsia" w:ascii="宋体" w:hAnsi="宋体" w:cs="宋体"/>
          <w:b/>
          <w:bCs/>
          <w:color w:val="auto"/>
          <w:szCs w:val="21"/>
          <w:highlight w:val="none"/>
        </w:rPr>
      </w:pPr>
      <w:r>
        <w:rPr>
          <w:rFonts w:ascii="宋体" w:hAnsi="宋体" w:cs="宋体"/>
          <w:b/>
          <w:bCs/>
          <w:color w:val="auto"/>
          <w:szCs w:val="21"/>
          <w:highlight w:val="none"/>
        </w:rPr>
        <w:t xml:space="preserve"> </w:t>
      </w:r>
    </w:p>
    <w:p w14:paraId="662B694F">
      <w:pPr>
        <w:spacing w:before="156" w:after="468" w:line="360" w:lineRule="auto"/>
        <w:jc w:val="center"/>
        <w:rPr>
          <w:rFonts w:hint="eastAsia" w:ascii="宋体" w:hAnsi="宋体" w:cs="宋体"/>
          <w:b/>
          <w:bCs/>
          <w:color w:val="auto"/>
          <w:spacing w:val="20"/>
          <w:szCs w:val="21"/>
          <w:highlight w:val="none"/>
        </w:rPr>
      </w:pPr>
      <w:bookmarkStart w:id="43" w:name="_Toc4363"/>
      <w:bookmarkStart w:id="44" w:name="_Toc21456"/>
      <w:r>
        <w:rPr>
          <w:rFonts w:ascii="宋体" w:hAnsi="宋体" w:cs="宋体"/>
          <w:b/>
          <w:bCs/>
          <w:color w:val="auto"/>
          <w:spacing w:val="20"/>
          <w:szCs w:val="21"/>
          <w:highlight w:val="none"/>
        </w:rPr>
        <w:br w:type="page" w:clear="all"/>
      </w:r>
      <w:r>
        <w:rPr>
          <w:rFonts w:hint="eastAsia" w:ascii="宋体" w:hAnsi="宋体" w:cs="宋体"/>
          <w:b/>
          <w:bCs/>
          <w:color w:val="auto"/>
          <w:spacing w:val="20"/>
          <w:szCs w:val="21"/>
          <w:highlight w:val="none"/>
        </w:rPr>
        <w:t>商务条款偏离表</w:t>
      </w:r>
      <w:bookmarkEnd w:id="43"/>
      <w:bookmarkEnd w:id="44"/>
    </w:p>
    <w:p w14:paraId="2A73D730">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项目名称：</w:t>
      </w:r>
    </w:p>
    <w:p w14:paraId="39131DF6">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项目编号：</w:t>
      </w:r>
    </w:p>
    <w:tbl>
      <w:tblPr>
        <w:tblStyle w:val="43"/>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690"/>
        <w:gridCol w:w="2155"/>
        <w:gridCol w:w="1559"/>
        <w:gridCol w:w="2127"/>
      </w:tblGrid>
      <w:tr w14:paraId="66AF2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2" w:hRule="atLeast"/>
        </w:trPr>
        <w:tc>
          <w:tcPr>
            <w:tcW w:w="828" w:type="dxa"/>
            <w:vAlign w:val="center"/>
          </w:tcPr>
          <w:p w14:paraId="2D7131D2">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序号</w:t>
            </w:r>
          </w:p>
        </w:tc>
        <w:tc>
          <w:tcPr>
            <w:tcW w:w="1690" w:type="dxa"/>
            <w:vAlign w:val="center"/>
          </w:tcPr>
          <w:p w14:paraId="6A911BC1">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名称</w:t>
            </w:r>
          </w:p>
        </w:tc>
        <w:tc>
          <w:tcPr>
            <w:tcW w:w="2155" w:type="dxa"/>
            <w:vAlign w:val="center"/>
          </w:tcPr>
          <w:p w14:paraId="5BE2AC7A">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招标文件商务要求</w:t>
            </w:r>
          </w:p>
        </w:tc>
        <w:tc>
          <w:tcPr>
            <w:tcW w:w="1559" w:type="dxa"/>
            <w:vAlign w:val="center"/>
          </w:tcPr>
          <w:p w14:paraId="21FFBDB5">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投标文件响应情况</w:t>
            </w:r>
          </w:p>
        </w:tc>
        <w:tc>
          <w:tcPr>
            <w:tcW w:w="2127" w:type="dxa"/>
            <w:vAlign w:val="center"/>
          </w:tcPr>
          <w:p w14:paraId="6B1D861E">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说明</w:t>
            </w:r>
          </w:p>
        </w:tc>
      </w:tr>
      <w:tr w14:paraId="12134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vAlign w:val="center"/>
          </w:tcPr>
          <w:p w14:paraId="68063FEA">
            <w:pPr>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1690" w:type="dxa"/>
            <w:vAlign w:val="center"/>
          </w:tcPr>
          <w:p w14:paraId="52CEDB42">
            <w:pPr>
              <w:jc w:val="center"/>
              <w:rPr>
                <w:rFonts w:hint="eastAsia" w:ascii="宋体" w:hAnsi="宋体" w:cs="宋体"/>
                <w:color w:val="auto"/>
                <w:szCs w:val="21"/>
                <w:highlight w:val="none"/>
              </w:rPr>
            </w:pPr>
            <w:r>
              <w:rPr>
                <w:rFonts w:hint="eastAsia" w:ascii="宋体" w:hAnsi="宋体" w:cs="宋体"/>
                <w:color w:val="auto"/>
                <w:szCs w:val="21"/>
                <w:highlight w:val="none"/>
              </w:rPr>
              <w:t>服务期限</w:t>
            </w:r>
          </w:p>
        </w:tc>
        <w:tc>
          <w:tcPr>
            <w:tcW w:w="2155" w:type="dxa"/>
            <w:vAlign w:val="center"/>
          </w:tcPr>
          <w:p w14:paraId="64BE585A">
            <w:pPr>
              <w:rPr>
                <w:rFonts w:hint="eastAsia" w:ascii="宋体" w:hAnsi="宋体" w:cs="宋体"/>
                <w:color w:val="auto"/>
                <w:szCs w:val="21"/>
                <w:highlight w:val="none"/>
              </w:rPr>
            </w:pPr>
          </w:p>
        </w:tc>
        <w:tc>
          <w:tcPr>
            <w:tcW w:w="1559" w:type="dxa"/>
            <w:vAlign w:val="center"/>
          </w:tcPr>
          <w:p w14:paraId="75506BAE">
            <w:pPr>
              <w:rPr>
                <w:rFonts w:hint="eastAsia" w:ascii="宋体" w:hAnsi="宋体" w:cs="宋体"/>
                <w:color w:val="auto"/>
                <w:szCs w:val="21"/>
                <w:highlight w:val="none"/>
              </w:rPr>
            </w:pPr>
          </w:p>
        </w:tc>
        <w:tc>
          <w:tcPr>
            <w:tcW w:w="2127" w:type="dxa"/>
          </w:tcPr>
          <w:p w14:paraId="293FDD23">
            <w:pPr>
              <w:rPr>
                <w:rFonts w:hint="eastAsia" w:ascii="宋体" w:hAnsi="宋体" w:cs="宋体"/>
                <w:color w:val="auto"/>
                <w:szCs w:val="21"/>
                <w:highlight w:val="none"/>
              </w:rPr>
            </w:pPr>
          </w:p>
        </w:tc>
      </w:tr>
      <w:tr w14:paraId="5CAE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vAlign w:val="center"/>
          </w:tcPr>
          <w:p w14:paraId="07FD8B07">
            <w:pPr>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1690" w:type="dxa"/>
            <w:vAlign w:val="center"/>
          </w:tcPr>
          <w:p w14:paraId="24CB37FA">
            <w:pPr>
              <w:jc w:val="center"/>
              <w:rPr>
                <w:rFonts w:hint="eastAsia" w:ascii="宋体" w:hAnsi="宋体" w:cs="宋体"/>
                <w:color w:val="auto"/>
                <w:szCs w:val="21"/>
                <w:highlight w:val="none"/>
              </w:rPr>
            </w:pPr>
            <w:r>
              <w:rPr>
                <w:rFonts w:hint="eastAsia" w:ascii="宋体" w:hAnsi="宋体" w:cs="宋体"/>
                <w:color w:val="auto"/>
                <w:szCs w:val="21"/>
                <w:highlight w:val="none"/>
              </w:rPr>
              <w:t>付款方式</w:t>
            </w:r>
          </w:p>
        </w:tc>
        <w:tc>
          <w:tcPr>
            <w:tcW w:w="2155" w:type="dxa"/>
            <w:vAlign w:val="center"/>
          </w:tcPr>
          <w:p w14:paraId="232F40A6">
            <w:pPr>
              <w:rPr>
                <w:rFonts w:hint="eastAsia" w:ascii="宋体" w:hAnsi="宋体" w:cs="宋体"/>
                <w:color w:val="auto"/>
                <w:szCs w:val="21"/>
                <w:highlight w:val="none"/>
              </w:rPr>
            </w:pPr>
          </w:p>
        </w:tc>
        <w:tc>
          <w:tcPr>
            <w:tcW w:w="1559" w:type="dxa"/>
            <w:vAlign w:val="center"/>
          </w:tcPr>
          <w:p w14:paraId="66CFD713">
            <w:pPr>
              <w:rPr>
                <w:rFonts w:hint="eastAsia" w:ascii="宋体" w:hAnsi="宋体" w:cs="宋体"/>
                <w:color w:val="auto"/>
                <w:szCs w:val="21"/>
                <w:highlight w:val="none"/>
              </w:rPr>
            </w:pPr>
          </w:p>
        </w:tc>
        <w:tc>
          <w:tcPr>
            <w:tcW w:w="2127" w:type="dxa"/>
          </w:tcPr>
          <w:p w14:paraId="4E7AEBA3">
            <w:pPr>
              <w:rPr>
                <w:rFonts w:hint="eastAsia" w:ascii="宋体" w:hAnsi="宋体" w:cs="宋体"/>
                <w:color w:val="auto"/>
                <w:szCs w:val="21"/>
                <w:highlight w:val="none"/>
              </w:rPr>
            </w:pPr>
          </w:p>
        </w:tc>
      </w:tr>
      <w:tr w14:paraId="567C0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vAlign w:val="center"/>
          </w:tcPr>
          <w:p w14:paraId="34A6676E">
            <w:pPr>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1690" w:type="dxa"/>
            <w:vAlign w:val="center"/>
          </w:tcPr>
          <w:p w14:paraId="6EDAB136">
            <w:pPr>
              <w:jc w:val="center"/>
              <w:rPr>
                <w:rFonts w:hint="eastAsia" w:ascii="宋体" w:hAnsi="宋体" w:cs="宋体"/>
                <w:color w:val="auto"/>
                <w:szCs w:val="21"/>
                <w:highlight w:val="none"/>
              </w:rPr>
            </w:pPr>
            <w:r>
              <w:rPr>
                <w:rFonts w:hint="eastAsia" w:ascii="宋体" w:hAnsi="宋体" w:cs="宋体"/>
                <w:color w:val="auto"/>
                <w:szCs w:val="21"/>
                <w:highlight w:val="none"/>
              </w:rPr>
              <w:t>合同主要条款</w:t>
            </w:r>
          </w:p>
        </w:tc>
        <w:tc>
          <w:tcPr>
            <w:tcW w:w="2155" w:type="dxa"/>
            <w:vAlign w:val="center"/>
          </w:tcPr>
          <w:p w14:paraId="56CD650B">
            <w:pPr>
              <w:rPr>
                <w:rFonts w:hint="eastAsia" w:ascii="宋体" w:hAnsi="宋体" w:cs="宋体"/>
                <w:color w:val="auto"/>
                <w:szCs w:val="21"/>
                <w:highlight w:val="none"/>
              </w:rPr>
            </w:pPr>
          </w:p>
        </w:tc>
        <w:tc>
          <w:tcPr>
            <w:tcW w:w="1559" w:type="dxa"/>
            <w:vAlign w:val="center"/>
          </w:tcPr>
          <w:p w14:paraId="20AA3DBA">
            <w:pPr>
              <w:rPr>
                <w:rFonts w:hint="eastAsia" w:ascii="宋体" w:hAnsi="宋体" w:cs="宋体"/>
                <w:color w:val="auto"/>
                <w:szCs w:val="21"/>
                <w:highlight w:val="none"/>
              </w:rPr>
            </w:pPr>
          </w:p>
        </w:tc>
        <w:tc>
          <w:tcPr>
            <w:tcW w:w="2127" w:type="dxa"/>
          </w:tcPr>
          <w:p w14:paraId="3E0EBD2C">
            <w:pPr>
              <w:rPr>
                <w:rFonts w:hint="eastAsia" w:ascii="宋体" w:hAnsi="宋体" w:cs="宋体"/>
                <w:color w:val="auto"/>
                <w:szCs w:val="21"/>
                <w:highlight w:val="none"/>
              </w:rPr>
            </w:pPr>
          </w:p>
        </w:tc>
      </w:tr>
      <w:tr w14:paraId="5864C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vAlign w:val="center"/>
          </w:tcPr>
          <w:p w14:paraId="6F4F42A7">
            <w:pPr>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1690" w:type="dxa"/>
            <w:vAlign w:val="center"/>
          </w:tcPr>
          <w:p w14:paraId="4EBCFAE0">
            <w:pPr>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2155" w:type="dxa"/>
            <w:vAlign w:val="center"/>
          </w:tcPr>
          <w:p w14:paraId="42F1471B">
            <w:pPr>
              <w:rPr>
                <w:rFonts w:hint="eastAsia" w:ascii="宋体" w:hAnsi="宋体" w:cs="宋体"/>
                <w:color w:val="auto"/>
                <w:szCs w:val="21"/>
                <w:highlight w:val="none"/>
              </w:rPr>
            </w:pPr>
          </w:p>
        </w:tc>
        <w:tc>
          <w:tcPr>
            <w:tcW w:w="1559" w:type="dxa"/>
            <w:vAlign w:val="center"/>
          </w:tcPr>
          <w:p w14:paraId="3D41A795">
            <w:pPr>
              <w:rPr>
                <w:rFonts w:hint="eastAsia" w:ascii="宋体" w:hAnsi="宋体" w:cs="宋体"/>
                <w:color w:val="auto"/>
                <w:szCs w:val="21"/>
                <w:highlight w:val="none"/>
              </w:rPr>
            </w:pPr>
          </w:p>
        </w:tc>
        <w:tc>
          <w:tcPr>
            <w:tcW w:w="2127" w:type="dxa"/>
          </w:tcPr>
          <w:p w14:paraId="1AC6D1A1">
            <w:pPr>
              <w:rPr>
                <w:rFonts w:hint="eastAsia" w:ascii="宋体" w:hAnsi="宋体" w:cs="宋体"/>
                <w:color w:val="auto"/>
                <w:szCs w:val="21"/>
                <w:highlight w:val="none"/>
              </w:rPr>
            </w:pPr>
          </w:p>
        </w:tc>
      </w:tr>
      <w:tr w14:paraId="61344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vAlign w:val="center"/>
          </w:tcPr>
          <w:p w14:paraId="2C37764F">
            <w:pPr>
              <w:jc w:val="center"/>
              <w:rPr>
                <w:rFonts w:hint="eastAsia" w:ascii="宋体" w:hAnsi="宋体" w:cs="宋体"/>
                <w:color w:val="auto"/>
                <w:szCs w:val="21"/>
                <w:highlight w:val="none"/>
              </w:rPr>
            </w:pPr>
          </w:p>
        </w:tc>
        <w:tc>
          <w:tcPr>
            <w:tcW w:w="1690" w:type="dxa"/>
            <w:vAlign w:val="center"/>
          </w:tcPr>
          <w:p w14:paraId="66C28492">
            <w:pPr>
              <w:jc w:val="center"/>
              <w:rPr>
                <w:rFonts w:hint="eastAsia" w:ascii="宋体" w:hAnsi="宋体" w:cs="宋体"/>
                <w:color w:val="auto"/>
                <w:szCs w:val="21"/>
                <w:highlight w:val="none"/>
              </w:rPr>
            </w:pPr>
          </w:p>
        </w:tc>
        <w:tc>
          <w:tcPr>
            <w:tcW w:w="2155" w:type="dxa"/>
            <w:vAlign w:val="center"/>
          </w:tcPr>
          <w:p w14:paraId="4F64C701">
            <w:pPr>
              <w:rPr>
                <w:rFonts w:hint="eastAsia" w:ascii="宋体" w:hAnsi="宋体" w:cs="宋体"/>
                <w:color w:val="auto"/>
                <w:szCs w:val="21"/>
                <w:highlight w:val="none"/>
              </w:rPr>
            </w:pPr>
          </w:p>
        </w:tc>
        <w:tc>
          <w:tcPr>
            <w:tcW w:w="1559" w:type="dxa"/>
            <w:vAlign w:val="center"/>
          </w:tcPr>
          <w:p w14:paraId="683355C4">
            <w:pPr>
              <w:rPr>
                <w:rFonts w:hint="eastAsia" w:ascii="宋体" w:hAnsi="宋体" w:cs="宋体"/>
                <w:color w:val="auto"/>
                <w:szCs w:val="21"/>
                <w:highlight w:val="none"/>
              </w:rPr>
            </w:pPr>
          </w:p>
        </w:tc>
        <w:tc>
          <w:tcPr>
            <w:tcW w:w="2127" w:type="dxa"/>
          </w:tcPr>
          <w:p w14:paraId="146E2955">
            <w:pPr>
              <w:rPr>
                <w:rFonts w:hint="eastAsia" w:ascii="宋体" w:hAnsi="宋体" w:cs="宋体"/>
                <w:color w:val="auto"/>
                <w:szCs w:val="21"/>
                <w:highlight w:val="none"/>
              </w:rPr>
            </w:pPr>
          </w:p>
        </w:tc>
      </w:tr>
      <w:tr w14:paraId="19FF8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vAlign w:val="center"/>
          </w:tcPr>
          <w:p w14:paraId="2ED28035">
            <w:pPr>
              <w:jc w:val="center"/>
              <w:rPr>
                <w:rFonts w:hint="eastAsia" w:ascii="宋体" w:hAnsi="宋体" w:cs="宋体"/>
                <w:color w:val="auto"/>
                <w:szCs w:val="21"/>
                <w:highlight w:val="none"/>
              </w:rPr>
            </w:pPr>
          </w:p>
        </w:tc>
        <w:tc>
          <w:tcPr>
            <w:tcW w:w="1690" w:type="dxa"/>
            <w:vAlign w:val="center"/>
          </w:tcPr>
          <w:p w14:paraId="5C8D3F2E">
            <w:pPr>
              <w:jc w:val="center"/>
              <w:rPr>
                <w:rFonts w:hint="eastAsia" w:ascii="宋体" w:hAnsi="宋体" w:cs="宋体"/>
                <w:color w:val="auto"/>
                <w:szCs w:val="21"/>
                <w:highlight w:val="none"/>
              </w:rPr>
            </w:pPr>
          </w:p>
        </w:tc>
        <w:tc>
          <w:tcPr>
            <w:tcW w:w="2155" w:type="dxa"/>
            <w:vAlign w:val="center"/>
          </w:tcPr>
          <w:p w14:paraId="31BD9DF4">
            <w:pPr>
              <w:rPr>
                <w:rFonts w:hint="eastAsia" w:ascii="宋体" w:hAnsi="宋体" w:cs="宋体"/>
                <w:color w:val="auto"/>
                <w:szCs w:val="21"/>
                <w:highlight w:val="none"/>
              </w:rPr>
            </w:pPr>
          </w:p>
        </w:tc>
        <w:tc>
          <w:tcPr>
            <w:tcW w:w="1559" w:type="dxa"/>
            <w:vAlign w:val="center"/>
          </w:tcPr>
          <w:p w14:paraId="5261761A">
            <w:pPr>
              <w:rPr>
                <w:rFonts w:hint="eastAsia" w:ascii="宋体" w:hAnsi="宋体" w:cs="宋体"/>
                <w:color w:val="auto"/>
                <w:szCs w:val="21"/>
                <w:highlight w:val="none"/>
              </w:rPr>
            </w:pPr>
          </w:p>
        </w:tc>
        <w:tc>
          <w:tcPr>
            <w:tcW w:w="2127" w:type="dxa"/>
          </w:tcPr>
          <w:p w14:paraId="7FFCA2D3">
            <w:pPr>
              <w:rPr>
                <w:rFonts w:hint="eastAsia" w:ascii="宋体" w:hAnsi="宋体" w:cs="宋体"/>
                <w:color w:val="auto"/>
                <w:szCs w:val="21"/>
                <w:highlight w:val="none"/>
              </w:rPr>
            </w:pPr>
          </w:p>
        </w:tc>
      </w:tr>
      <w:tr w14:paraId="5CD33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vAlign w:val="center"/>
          </w:tcPr>
          <w:p w14:paraId="7A1C8C19">
            <w:pPr>
              <w:jc w:val="center"/>
              <w:rPr>
                <w:rFonts w:hint="eastAsia" w:ascii="宋体" w:hAnsi="宋体" w:cs="宋体"/>
                <w:color w:val="auto"/>
                <w:szCs w:val="21"/>
                <w:highlight w:val="none"/>
              </w:rPr>
            </w:pPr>
          </w:p>
        </w:tc>
        <w:tc>
          <w:tcPr>
            <w:tcW w:w="1690" w:type="dxa"/>
            <w:vAlign w:val="center"/>
          </w:tcPr>
          <w:p w14:paraId="34378508">
            <w:pPr>
              <w:jc w:val="center"/>
              <w:rPr>
                <w:rFonts w:hint="eastAsia" w:ascii="宋体" w:hAnsi="宋体" w:cs="宋体"/>
                <w:color w:val="auto"/>
                <w:szCs w:val="21"/>
                <w:highlight w:val="none"/>
              </w:rPr>
            </w:pPr>
          </w:p>
        </w:tc>
        <w:tc>
          <w:tcPr>
            <w:tcW w:w="2155" w:type="dxa"/>
            <w:vAlign w:val="center"/>
          </w:tcPr>
          <w:p w14:paraId="50F757C0">
            <w:pPr>
              <w:rPr>
                <w:rFonts w:hint="eastAsia" w:ascii="宋体" w:hAnsi="宋体" w:cs="宋体"/>
                <w:color w:val="auto"/>
                <w:szCs w:val="21"/>
                <w:highlight w:val="none"/>
              </w:rPr>
            </w:pPr>
          </w:p>
        </w:tc>
        <w:tc>
          <w:tcPr>
            <w:tcW w:w="1559" w:type="dxa"/>
            <w:vAlign w:val="center"/>
          </w:tcPr>
          <w:p w14:paraId="3BEE4468">
            <w:pPr>
              <w:rPr>
                <w:rFonts w:hint="eastAsia" w:ascii="宋体" w:hAnsi="宋体" w:cs="宋体"/>
                <w:color w:val="auto"/>
                <w:szCs w:val="21"/>
                <w:highlight w:val="none"/>
              </w:rPr>
            </w:pPr>
          </w:p>
        </w:tc>
        <w:tc>
          <w:tcPr>
            <w:tcW w:w="2127" w:type="dxa"/>
          </w:tcPr>
          <w:p w14:paraId="3EC31396">
            <w:pPr>
              <w:rPr>
                <w:rFonts w:hint="eastAsia" w:ascii="宋体" w:hAnsi="宋体" w:cs="宋体"/>
                <w:color w:val="auto"/>
                <w:szCs w:val="21"/>
                <w:highlight w:val="none"/>
              </w:rPr>
            </w:pPr>
          </w:p>
        </w:tc>
      </w:tr>
    </w:tbl>
    <w:p w14:paraId="2E1C631D">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说明：</w:t>
      </w:r>
    </w:p>
    <w:p w14:paraId="12131A51">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1、商务条款内容主要是针对采购文件有关的付款条件、服务期、合同主要条款等内容。</w:t>
      </w:r>
    </w:p>
    <w:p w14:paraId="01E5538C">
      <w:pPr>
        <w:spacing w:line="360" w:lineRule="auto"/>
        <w:rPr>
          <w:b/>
          <w:bCs/>
          <w:color w:val="auto"/>
          <w:szCs w:val="22"/>
          <w:highlight w:val="none"/>
        </w:rPr>
      </w:pPr>
      <w:r>
        <w:rPr>
          <w:rFonts w:hint="eastAsia" w:ascii="宋体" w:hAnsi="宋体" w:cs="宋体"/>
          <w:color w:val="auto"/>
          <w:szCs w:val="21"/>
          <w:highlight w:val="none"/>
        </w:rPr>
        <w:t>2、无偏离应在本表“响应文件响应情况”栏注明“无商务条款偏离”的字样。</w:t>
      </w:r>
    </w:p>
    <w:p w14:paraId="55C2C539">
      <w:pPr>
        <w:spacing w:line="360" w:lineRule="auto"/>
        <w:rPr>
          <w:rFonts w:hint="eastAsia" w:ascii="宋体" w:hAnsi="宋体" w:cs="宋体"/>
          <w:b/>
          <w:bCs/>
          <w:color w:val="auto"/>
          <w:szCs w:val="21"/>
          <w:highlight w:val="none"/>
        </w:rPr>
      </w:pPr>
    </w:p>
    <w:p w14:paraId="2C1511B9">
      <w:pPr>
        <w:pStyle w:val="24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响应</w:t>
      </w:r>
      <w:r>
        <w:rPr>
          <w:rFonts w:ascii="Times New Roman" w:hAnsi="Times New Roman" w:eastAsia="宋体"/>
          <w:color w:val="auto"/>
          <w:sz w:val="21"/>
          <w:szCs w:val="21"/>
          <w:highlight w:val="none"/>
        </w:rPr>
        <w:t xml:space="preserve">单位（公章）：  </w:t>
      </w:r>
    </w:p>
    <w:p w14:paraId="3F55B3E8">
      <w:pPr>
        <w:pStyle w:val="24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法定代表人或代理人：（签字或盖章）</w:t>
      </w:r>
    </w:p>
    <w:p w14:paraId="55E3B2FB">
      <w:pPr>
        <w:spacing w:line="360" w:lineRule="auto"/>
        <w:rPr>
          <w:color w:val="auto"/>
          <w:szCs w:val="21"/>
          <w:highlight w:val="none"/>
        </w:rPr>
      </w:pPr>
      <w:r>
        <w:rPr>
          <w:color w:val="auto"/>
          <w:szCs w:val="21"/>
          <w:highlight w:val="none"/>
        </w:rPr>
        <w:t>日期：     年   月   日</w:t>
      </w:r>
    </w:p>
    <w:p w14:paraId="1B563003">
      <w:pPr>
        <w:spacing w:line="360" w:lineRule="auto"/>
        <w:rPr>
          <w:rFonts w:hint="eastAsia" w:ascii="宋体" w:hAnsi="宋体" w:cs="宋体"/>
          <w:b/>
          <w:bCs/>
          <w:color w:val="auto"/>
          <w:szCs w:val="21"/>
          <w:highlight w:val="none"/>
        </w:rPr>
      </w:pPr>
    </w:p>
    <w:p w14:paraId="547C9AFC">
      <w:pPr>
        <w:spacing w:before="156" w:after="468" w:line="360" w:lineRule="auto"/>
        <w:jc w:val="left"/>
        <w:rPr>
          <w:color w:val="auto"/>
          <w:szCs w:val="21"/>
          <w:highlight w:val="none"/>
        </w:rPr>
      </w:pPr>
      <w:r>
        <w:rPr>
          <w:color w:val="auto"/>
          <w:szCs w:val="21"/>
          <w:highlight w:val="none"/>
        </w:rPr>
        <w:t xml:space="preserve"> </w:t>
      </w:r>
    </w:p>
    <w:p w14:paraId="4B52A2B8">
      <w:pPr>
        <w:spacing w:line="440" w:lineRule="exact"/>
        <w:jc w:val="left"/>
        <w:outlineLvl w:val="1"/>
        <w:rPr>
          <w:b/>
          <w:bCs/>
          <w:color w:val="auto"/>
          <w:highlight w:val="none"/>
        </w:rPr>
      </w:pPr>
      <w:r>
        <w:rPr>
          <w:b/>
          <w:bCs/>
          <w:color w:val="auto"/>
          <w:highlight w:val="none"/>
        </w:rPr>
        <w:br w:type="page" w:clear="all"/>
      </w:r>
      <w:r>
        <w:rPr>
          <w:b/>
          <w:bCs/>
          <w:color w:val="auto"/>
          <w:highlight w:val="none"/>
        </w:rPr>
        <w:t>格式</w:t>
      </w:r>
      <w:r>
        <w:rPr>
          <w:rFonts w:hint="eastAsia"/>
          <w:b/>
          <w:bCs/>
          <w:color w:val="auto"/>
          <w:highlight w:val="none"/>
        </w:rPr>
        <w:t>6：</w:t>
      </w:r>
      <w:r>
        <w:rPr>
          <w:b/>
          <w:color w:val="auto"/>
          <w:szCs w:val="22"/>
          <w:highlight w:val="none"/>
        </w:rPr>
        <w:t>项目服务人员配置表</w:t>
      </w:r>
    </w:p>
    <w:p w14:paraId="3C393945">
      <w:pPr>
        <w:spacing w:before="156" w:after="468" w:line="360" w:lineRule="auto"/>
        <w:jc w:val="center"/>
        <w:rPr>
          <w:b/>
          <w:bCs/>
          <w:color w:val="auto"/>
          <w:spacing w:val="20"/>
          <w:szCs w:val="21"/>
          <w:highlight w:val="none"/>
        </w:rPr>
      </w:pPr>
      <w:r>
        <w:rPr>
          <w:b/>
          <w:bCs/>
          <w:color w:val="auto"/>
          <w:spacing w:val="20"/>
          <w:szCs w:val="21"/>
          <w:highlight w:val="none"/>
        </w:rPr>
        <w:t>项目服务人员配置表</w:t>
      </w:r>
    </w:p>
    <w:tbl>
      <w:tblPr>
        <w:tblStyle w:val="43"/>
        <w:tblW w:w="95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0"/>
        <w:gridCol w:w="1300"/>
        <w:gridCol w:w="3466"/>
        <w:gridCol w:w="1517"/>
        <w:gridCol w:w="992"/>
        <w:gridCol w:w="1677"/>
      </w:tblGrid>
      <w:tr w14:paraId="6A8B1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vAlign w:val="center"/>
          </w:tcPr>
          <w:p w14:paraId="7A56F064">
            <w:pPr>
              <w:pStyle w:val="230"/>
              <w:spacing w:line="360" w:lineRule="auto"/>
              <w:jc w:val="center"/>
              <w:rPr>
                <w:rFonts w:hint="eastAsia" w:hAnsi="宋体" w:eastAsia="宋体" w:cs="宋体"/>
                <w:color w:val="auto"/>
                <w:sz w:val="21"/>
                <w:szCs w:val="21"/>
                <w:highlight w:val="none"/>
              </w:rPr>
            </w:pPr>
            <w:r>
              <w:rPr>
                <w:rFonts w:hint="eastAsia" w:hAnsi="宋体" w:eastAsia="宋体" w:cs="宋体"/>
                <w:color w:val="auto"/>
                <w:sz w:val="21"/>
                <w:szCs w:val="21"/>
                <w:highlight w:val="none"/>
              </w:rPr>
              <w:t>序号</w:t>
            </w:r>
          </w:p>
        </w:tc>
        <w:tc>
          <w:tcPr>
            <w:tcW w:w="1300" w:type="dxa"/>
            <w:vAlign w:val="center"/>
          </w:tcPr>
          <w:p w14:paraId="745134D8">
            <w:pPr>
              <w:pStyle w:val="230"/>
              <w:spacing w:line="360" w:lineRule="auto"/>
              <w:jc w:val="center"/>
              <w:rPr>
                <w:rFonts w:hint="eastAsia" w:hAnsi="宋体" w:eastAsia="宋体" w:cs="宋体"/>
                <w:color w:val="auto"/>
                <w:sz w:val="21"/>
                <w:szCs w:val="21"/>
                <w:highlight w:val="none"/>
              </w:rPr>
            </w:pPr>
            <w:r>
              <w:rPr>
                <w:rFonts w:hint="eastAsia" w:hAnsi="宋体" w:eastAsia="宋体" w:cs="宋体"/>
                <w:color w:val="auto"/>
                <w:sz w:val="21"/>
                <w:szCs w:val="21"/>
                <w:highlight w:val="none"/>
              </w:rPr>
              <w:t>姓名</w:t>
            </w:r>
          </w:p>
        </w:tc>
        <w:tc>
          <w:tcPr>
            <w:tcW w:w="3466" w:type="dxa"/>
            <w:vAlign w:val="center"/>
          </w:tcPr>
          <w:p w14:paraId="6A6540DF">
            <w:pPr>
              <w:pStyle w:val="230"/>
              <w:spacing w:line="360" w:lineRule="auto"/>
              <w:jc w:val="center"/>
              <w:rPr>
                <w:rFonts w:hint="eastAsia" w:hAnsi="宋体" w:eastAsia="宋体" w:cs="宋体"/>
                <w:color w:val="auto"/>
                <w:sz w:val="21"/>
                <w:szCs w:val="21"/>
                <w:highlight w:val="none"/>
              </w:rPr>
            </w:pPr>
            <w:r>
              <w:rPr>
                <w:rFonts w:hint="eastAsia" w:hAnsi="宋体" w:eastAsia="宋体" w:cs="宋体"/>
                <w:color w:val="auto"/>
                <w:sz w:val="21"/>
                <w:szCs w:val="21"/>
                <w:highlight w:val="none"/>
              </w:rPr>
              <w:t>身份证号</w:t>
            </w:r>
          </w:p>
        </w:tc>
        <w:tc>
          <w:tcPr>
            <w:tcW w:w="1517" w:type="dxa"/>
            <w:vAlign w:val="center"/>
          </w:tcPr>
          <w:p w14:paraId="49769556">
            <w:pPr>
              <w:pStyle w:val="230"/>
              <w:spacing w:line="360" w:lineRule="auto"/>
              <w:jc w:val="center"/>
              <w:rPr>
                <w:rFonts w:hint="eastAsia" w:hAnsi="宋体" w:eastAsia="宋体" w:cs="宋体"/>
                <w:color w:val="auto"/>
                <w:sz w:val="21"/>
                <w:szCs w:val="21"/>
                <w:highlight w:val="none"/>
              </w:rPr>
            </w:pPr>
            <w:r>
              <w:rPr>
                <w:rFonts w:hint="eastAsia" w:hAnsi="宋体" w:eastAsia="宋体" w:cs="宋体"/>
                <w:color w:val="auto"/>
                <w:sz w:val="21"/>
                <w:szCs w:val="21"/>
                <w:highlight w:val="none"/>
              </w:rPr>
              <w:t>职称（如有）</w:t>
            </w:r>
          </w:p>
        </w:tc>
        <w:tc>
          <w:tcPr>
            <w:tcW w:w="992" w:type="dxa"/>
            <w:vAlign w:val="center"/>
          </w:tcPr>
          <w:p w14:paraId="654BD46A">
            <w:pPr>
              <w:pStyle w:val="230"/>
              <w:spacing w:line="360" w:lineRule="auto"/>
              <w:jc w:val="center"/>
              <w:rPr>
                <w:rFonts w:hint="eastAsia" w:hAnsi="宋体" w:eastAsia="宋体" w:cs="宋体"/>
                <w:color w:val="auto"/>
                <w:sz w:val="21"/>
                <w:szCs w:val="21"/>
                <w:highlight w:val="none"/>
              </w:rPr>
            </w:pPr>
            <w:r>
              <w:rPr>
                <w:rFonts w:hint="eastAsia" w:hAnsi="宋体" w:eastAsia="宋体" w:cs="宋体"/>
                <w:color w:val="auto"/>
                <w:sz w:val="21"/>
                <w:szCs w:val="21"/>
                <w:highlight w:val="none"/>
              </w:rPr>
              <w:t>工龄</w:t>
            </w:r>
          </w:p>
        </w:tc>
        <w:tc>
          <w:tcPr>
            <w:tcW w:w="1677" w:type="dxa"/>
            <w:vAlign w:val="center"/>
          </w:tcPr>
          <w:p w14:paraId="2920CDFC">
            <w:pPr>
              <w:pStyle w:val="230"/>
              <w:spacing w:line="360" w:lineRule="auto"/>
              <w:jc w:val="center"/>
              <w:rPr>
                <w:rFonts w:hint="eastAsia" w:hAnsi="宋体" w:eastAsia="宋体" w:cs="宋体"/>
                <w:color w:val="auto"/>
                <w:sz w:val="21"/>
                <w:szCs w:val="21"/>
                <w:highlight w:val="none"/>
              </w:rPr>
            </w:pPr>
            <w:r>
              <w:rPr>
                <w:rFonts w:hint="eastAsia" w:hAnsi="宋体" w:eastAsia="宋体" w:cs="宋体"/>
                <w:color w:val="auto"/>
                <w:sz w:val="21"/>
                <w:szCs w:val="21"/>
                <w:highlight w:val="none"/>
              </w:rPr>
              <w:t>本次拟任职务</w:t>
            </w:r>
          </w:p>
        </w:tc>
      </w:tr>
      <w:tr w14:paraId="732CE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vAlign w:val="center"/>
          </w:tcPr>
          <w:p w14:paraId="74038FDA">
            <w:pPr>
              <w:pStyle w:val="230"/>
              <w:spacing w:line="360" w:lineRule="auto"/>
              <w:jc w:val="center"/>
              <w:rPr>
                <w:rFonts w:hint="eastAsia" w:hAnsi="宋体" w:eastAsia="宋体" w:cs="宋体"/>
                <w:color w:val="auto"/>
                <w:sz w:val="21"/>
                <w:szCs w:val="21"/>
                <w:highlight w:val="none"/>
              </w:rPr>
            </w:pPr>
          </w:p>
        </w:tc>
        <w:tc>
          <w:tcPr>
            <w:tcW w:w="1300" w:type="dxa"/>
            <w:vAlign w:val="center"/>
          </w:tcPr>
          <w:p w14:paraId="47B28A3E">
            <w:pPr>
              <w:pStyle w:val="230"/>
              <w:spacing w:line="360" w:lineRule="auto"/>
              <w:jc w:val="center"/>
              <w:rPr>
                <w:rFonts w:hint="eastAsia" w:hAnsi="宋体" w:eastAsia="宋体" w:cs="宋体"/>
                <w:color w:val="auto"/>
                <w:sz w:val="21"/>
                <w:szCs w:val="21"/>
                <w:highlight w:val="none"/>
              </w:rPr>
            </w:pPr>
          </w:p>
        </w:tc>
        <w:tc>
          <w:tcPr>
            <w:tcW w:w="3466" w:type="dxa"/>
            <w:vAlign w:val="center"/>
          </w:tcPr>
          <w:p w14:paraId="276E43AB">
            <w:pPr>
              <w:pStyle w:val="230"/>
              <w:spacing w:line="360" w:lineRule="auto"/>
              <w:jc w:val="center"/>
              <w:rPr>
                <w:rFonts w:hint="eastAsia" w:hAnsi="宋体" w:eastAsia="宋体" w:cs="宋体"/>
                <w:color w:val="auto"/>
                <w:sz w:val="21"/>
                <w:szCs w:val="21"/>
                <w:highlight w:val="none"/>
              </w:rPr>
            </w:pPr>
          </w:p>
        </w:tc>
        <w:tc>
          <w:tcPr>
            <w:tcW w:w="1517" w:type="dxa"/>
            <w:vAlign w:val="center"/>
          </w:tcPr>
          <w:p w14:paraId="4C26B41D">
            <w:pPr>
              <w:pStyle w:val="230"/>
              <w:spacing w:line="360" w:lineRule="auto"/>
              <w:jc w:val="center"/>
              <w:rPr>
                <w:rFonts w:hint="eastAsia" w:hAnsi="宋体" w:eastAsia="宋体" w:cs="宋体"/>
                <w:color w:val="auto"/>
                <w:sz w:val="21"/>
                <w:szCs w:val="21"/>
                <w:highlight w:val="none"/>
              </w:rPr>
            </w:pPr>
          </w:p>
        </w:tc>
        <w:tc>
          <w:tcPr>
            <w:tcW w:w="992" w:type="dxa"/>
            <w:vAlign w:val="center"/>
          </w:tcPr>
          <w:p w14:paraId="03D890D5">
            <w:pPr>
              <w:pStyle w:val="230"/>
              <w:spacing w:line="360" w:lineRule="auto"/>
              <w:jc w:val="center"/>
              <w:rPr>
                <w:rFonts w:hint="eastAsia" w:hAnsi="宋体" w:eastAsia="宋体" w:cs="宋体"/>
                <w:color w:val="auto"/>
                <w:sz w:val="21"/>
                <w:szCs w:val="21"/>
                <w:highlight w:val="none"/>
              </w:rPr>
            </w:pPr>
          </w:p>
        </w:tc>
        <w:tc>
          <w:tcPr>
            <w:tcW w:w="1677" w:type="dxa"/>
            <w:vAlign w:val="center"/>
          </w:tcPr>
          <w:p w14:paraId="2638FC1E">
            <w:pPr>
              <w:pStyle w:val="230"/>
              <w:spacing w:line="360" w:lineRule="auto"/>
              <w:jc w:val="center"/>
              <w:rPr>
                <w:rFonts w:hint="eastAsia" w:hAnsi="宋体" w:eastAsia="宋体" w:cs="宋体"/>
                <w:color w:val="auto"/>
                <w:sz w:val="21"/>
                <w:szCs w:val="21"/>
                <w:highlight w:val="none"/>
              </w:rPr>
            </w:pPr>
          </w:p>
        </w:tc>
      </w:tr>
      <w:tr w14:paraId="002A8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vAlign w:val="center"/>
          </w:tcPr>
          <w:p w14:paraId="1BF3FC79">
            <w:pPr>
              <w:pStyle w:val="230"/>
              <w:spacing w:line="360" w:lineRule="auto"/>
              <w:jc w:val="center"/>
              <w:rPr>
                <w:rFonts w:hint="eastAsia" w:hAnsi="宋体" w:eastAsia="宋体" w:cs="宋体"/>
                <w:color w:val="auto"/>
                <w:sz w:val="21"/>
                <w:szCs w:val="21"/>
                <w:highlight w:val="none"/>
              </w:rPr>
            </w:pPr>
          </w:p>
        </w:tc>
        <w:tc>
          <w:tcPr>
            <w:tcW w:w="1300" w:type="dxa"/>
            <w:vAlign w:val="center"/>
          </w:tcPr>
          <w:p w14:paraId="7A2971EA">
            <w:pPr>
              <w:pStyle w:val="230"/>
              <w:spacing w:line="360" w:lineRule="auto"/>
              <w:jc w:val="center"/>
              <w:rPr>
                <w:rFonts w:hint="eastAsia" w:hAnsi="宋体" w:eastAsia="宋体" w:cs="宋体"/>
                <w:color w:val="auto"/>
                <w:sz w:val="21"/>
                <w:szCs w:val="21"/>
                <w:highlight w:val="none"/>
              </w:rPr>
            </w:pPr>
          </w:p>
        </w:tc>
        <w:tc>
          <w:tcPr>
            <w:tcW w:w="3466" w:type="dxa"/>
            <w:vAlign w:val="center"/>
          </w:tcPr>
          <w:p w14:paraId="2304148C">
            <w:pPr>
              <w:pStyle w:val="230"/>
              <w:spacing w:line="360" w:lineRule="auto"/>
              <w:jc w:val="center"/>
              <w:rPr>
                <w:rFonts w:hint="eastAsia" w:hAnsi="宋体" w:eastAsia="宋体" w:cs="宋体"/>
                <w:color w:val="auto"/>
                <w:sz w:val="21"/>
                <w:szCs w:val="21"/>
                <w:highlight w:val="none"/>
              </w:rPr>
            </w:pPr>
          </w:p>
        </w:tc>
        <w:tc>
          <w:tcPr>
            <w:tcW w:w="1517" w:type="dxa"/>
            <w:vAlign w:val="center"/>
          </w:tcPr>
          <w:p w14:paraId="6E95001F">
            <w:pPr>
              <w:pStyle w:val="230"/>
              <w:spacing w:line="360" w:lineRule="auto"/>
              <w:jc w:val="center"/>
              <w:rPr>
                <w:rFonts w:hint="eastAsia" w:hAnsi="宋体" w:eastAsia="宋体" w:cs="宋体"/>
                <w:color w:val="auto"/>
                <w:sz w:val="21"/>
                <w:szCs w:val="21"/>
                <w:highlight w:val="none"/>
              </w:rPr>
            </w:pPr>
          </w:p>
        </w:tc>
        <w:tc>
          <w:tcPr>
            <w:tcW w:w="992" w:type="dxa"/>
            <w:vAlign w:val="center"/>
          </w:tcPr>
          <w:p w14:paraId="6532871E">
            <w:pPr>
              <w:pStyle w:val="230"/>
              <w:spacing w:line="360" w:lineRule="auto"/>
              <w:jc w:val="center"/>
              <w:rPr>
                <w:rFonts w:hint="eastAsia" w:hAnsi="宋体" w:eastAsia="宋体" w:cs="宋体"/>
                <w:color w:val="auto"/>
                <w:sz w:val="21"/>
                <w:szCs w:val="21"/>
                <w:highlight w:val="none"/>
              </w:rPr>
            </w:pPr>
          </w:p>
        </w:tc>
        <w:tc>
          <w:tcPr>
            <w:tcW w:w="1677" w:type="dxa"/>
            <w:vAlign w:val="center"/>
          </w:tcPr>
          <w:p w14:paraId="5E766C6D">
            <w:pPr>
              <w:pStyle w:val="230"/>
              <w:spacing w:line="360" w:lineRule="auto"/>
              <w:jc w:val="center"/>
              <w:rPr>
                <w:rFonts w:hint="eastAsia" w:hAnsi="宋体" w:eastAsia="宋体" w:cs="宋体"/>
                <w:color w:val="auto"/>
                <w:sz w:val="21"/>
                <w:szCs w:val="21"/>
                <w:highlight w:val="none"/>
              </w:rPr>
            </w:pPr>
          </w:p>
        </w:tc>
      </w:tr>
      <w:tr w14:paraId="29A27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vAlign w:val="center"/>
          </w:tcPr>
          <w:p w14:paraId="7B566095">
            <w:pPr>
              <w:pStyle w:val="230"/>
              <w:spacing w:line="360" w:lineRule="auto"/>
              <w:jc w:val="center"/>
              <w:rPr>
                <w:rFonts w:hint="eastAsia" w:hAnsi="宋体" w:eastAsia="宋体" w:cs="宋体"/>
                <w:color w:val="auto"/>
                <w:sz w:val="21"/>
                <w:szCs w:val="21"/>
                <w:highlight w:val="none"/>
              </w:rPr>
            </w:pPr>
          </w:p>
        </w:tc>
        <w:tc>
          <w:tcPr>
            <w:tcW w:w="1300" w:type="dxa"/>
            <w:vAlign w:val="center"/>
          </w:tcPr>
          <w:p w14:paraId="3BC42DD1">
            <w:pPr>
              <w:pStyle w:val="230"/>
              <w:spacing w:line="360" w:lineRule="auto"/>
              <w:jc w:val="center"/>
              <w:rPr>
                <w:rFonts w:hint="eastAsia" w:hAnsi="宋体" w:eastAsia="宋体" w:cs="宋体"/>
                <w:color w:val="auto"/>
                <w:sz w:val="21"/>
                <w:szCs w:val="21"/>
                <w:highlight w:val="none"/>
              </w:rPr>
            </w:pPr>
          </w:p>
        </w:tc>
        <w:tc>
          <w:tcPr>
            <w:tcW w:w="3466" w:type="dxa"/>
            <w:vAlign w:val="center"/>
          </w:tcPr>
          <w:p w14:paraId="701E6C30">
            <w:pPr>
              <w:pStyle w:val="230"/>
              <w:spacing w:line="360" w:lineRule="auto"/>
              <w:jc w:val="center"/>
              <w:rPr>
                <w:rFonts w:hint="eastAsia" w:hAnsi="宋体" w:eastAsia="宋体" w:cs="宋体"/>
                <w:color w:val="auto"/>
                <w:sz w:val="21"/>
                <w:szCs w:val="21"/>
                <w:highlight w:val="none"/>
              </w:rPr>
            </w:pPr>
          </w:p>
        </w:tc>
        <w:tc>
          <w:tcPr>
            <w:tcW w:w="1517" w:type="dxa"/>
            <w:vAlign w:val="center"/>
          </w:tcPr>
          <w:p w14:paraId="5A294F4B">
            <w:pPr>
              <w:pStyle w:val="230"/>
              <w:spacing w:line="360" w:lineRule="auto"/>
              <w:jc w:val="center"/>
              <w:rPr>
                <w:rFonts w:hint="eastAsia" w:hAnsi="宋体" w:eastAsia="宋体" w:cs="宋体"/>
                <w:color w:val="auto"/>
                <w:sz w:val="21"/>
                <w:szCs w:val="21"/>
                <w:highlight w:val="none"/>
              </w:rPr>
            </w:pPr>
          </w:p>
        </w:tc>
        <w:tc>
          <w:tcPr>
            <w:tcW w:w="992" w:type="dxa"/>
            <w:vAlign w:val="center"/>
          </w:tcPr>
          <w:p w14:paraId="7DD3D2C6">
            <w:pPr>
              <w:pStyle w:val="230"/>
              <w:spacing w:line="360" w:lineRule="auto"/>
              <w:jc w:val="center"/>
              <w:rPr>
                <w:rFonts w:hint="eastAsia" w:hAnsi="宋体" w:eastAsia="宋体" w:cs="宋体"/>
                <w:color w:val="auto"/>
                <w:sz w:val="21"/>
                <w:szCs w:val="21"/>
                <w:highlight w:val="none"/>
              </w:rPr>
            </w:pPr>
          </w:p>
        </w:tc>
        <w:tc>
          <w:tcPr>
            <w:tcW w:w="1677" w:type="dxa"/>
            <w:vAlign w:val="center"/>
          </w:tcPr>
          <w:p w14:paraId="4249F0AA">
            <w:pPr>
              <w:pStyle w:val="230"/>
              <w:spacing w:line="360" w:lineRule="auto"/>
              <w:jc w:val="center"/>
              <w:rPr>
                <w:rFonts w:hint="eastAsia" w:hAnsi="宋体" w:eastAsia="宋体" w:cs="宋体"/>
                <w:color w:val="auto"/>
                <w:sz w:val="21"/>
                <w:szCs w:val="21"/>
                <w:highlight w:val="none"/>
              </w:rPr>
            </w:pPr>
          </w:p>
        </w:tc>
      </w:tr>
      <w:tr w14:paraId="59AF1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vAlign w:val="center"/>
          </w:tcPr>
          <w:p w14:paraId="57ED754A">
            <w:pPr>
              <w:pStyle w:val="230"/>
              <w:spacing w:line="360" w:lineRule="auto"/>
              <w:jc w:val="center"/>
              <w:rPr>
                <w:rFonts w:hint="eastAsia" w:hAnsi="宋体" w:eastAsia="宋体" w:cs="宋体"/>
                <w:color w:val="auto"/>
                <w:sz w:val="21"/>
                <w:szCs w:val="21"/>
                <w:highlight w:val="none"/>
              </w:rPr>
            </w:pPr>
          </w:p>
        </w:tc>
        <w:tc>
          <w:tcPr>
            <w:tcW w:w="1300" w:type="dxa"/>
            <w:vAlign w:val="center"/>
          </w:tcPr>
          <w:p w14:paraId="4BB98F3E">
            <w:pPr>
              <w:pStyle w:val="230"/>
              <w:spacing w:line="360" w:lineRule="auto"/>
              <w:jc w:val="center"/>
              <w:rPr>
                <w:rFonts w:hint="eastAsia" w:hAnsi="宋体" w:eastAsia="宋体" w:cs="宋体"/>
                <w:color w:val="auto"/>
                <w:sz w:val="21"/>
                <w:szCs w:val="21"/>
                <w:highlight w:val="none"/>
              </w:rPr>
            </w:pPr>
          </w:p>
        </w:tc>
        <w:tc>
          <w:tcPr>
            <w:tcW w:w="3466" w:type="dxa"/>
            <w:vAlign w:val="center"/>
          </w:tcPr>
          <w:p w14:paraId="28B924ED">
            <w:pPr>
              <w:pStyle w:val="230"/>
              <w:spacing w:line="360" w:lineRule="auto"/>
              <w:jc w:val="center"/>
              <w:rPr>
                <w:rFonts w:hint="eastAsia" w:hAnsi="宋体" w:eastAsia="宋体" w:cs="宋体"/>
                <w:color w:val="auto"/>
                <w:sz w:val="21"/>
                <w:szCs w:val="21"/>
                <w:highlight w:val="none"/>
              </w:rPr>
            </w:pPr>
          </w:p>
        </w:tc>
        <w:tc>
          <w:tcPr>
            <w:tcW w:w="1517" w:type="dxa"/>
            <w:vAlign w:val="center"/>
          </w:tcPr>
          <w:p w14:paraId="61CA650C">
            <w:pPr>
              <w:pStyle w:val="230"/>
              <w:spacing w:line="360" w:lineRule="auto"/>
              <w:jc w:val="center"/>
              <w:rPr>
                <w:rFonts w:hint="eastAsia" w:hAnsi="宋体" w:eastAsia="宋体" w:cs="宋体"/>
                <w:color w:val="auto"/>
                <w:sz w:val="21"/>
                <w:szCs w:val="21"/>
                <w:highlight w:val="none"/>
              </w:rPr>
            </w:pPr>
          </w:p>
        </w:tc>
        <w:tc>
          <w:tcPr>
            <w:tcW w:w="992" w:type="dxa"/>
            <w:vAlign w:val="center"/>
          </w:tcPr>
          <w:p w14:paraId="2C936C1B">
            <w:pPr>
              <w:pStyle w:val="230"/>
              <w:spacing w:line="360" w:lineRule="auto"/>
              <w:jc w:val="center"/>
              <w:rPr>
                <w:rFonts w:hint="eastAsia" w:hAnsi="宋体" w:eastAsia="宋体" w:cs="宋体"/>
                <w:color w:val="auto"/>
                <w:sz w:val="21"/>
                <w:szCs w:val="21"/>
                <w:highlight w:val="none"/>
              </w:rPr>
            </w:pPr>
          </w:p>
        </w:tc>
        <w:tc>
          <w:tcPr>
            <w:tcW w:w="1677" w:type="dxa"/>
            <w:vAlign w:val="center"/>
          </w:tcPr>
          <w:p w14:paraId="2EA70D1E">
            <w:pPr>
              <w:pStyle w:val="230"/>
              <w:spacing w:line="360" w:lineRule="auto"/>
              <w:jc w:val="center"/>
              <w:rPr>
                <w:rFonts w:hint="eastAsia" w:hAnsi="宋体" w:eastAsia="宋体" w:cs="宋体"/>
                <w:color w:val="auto"/>
                <w:sz w:val="21"/>
                <w:szCs w:val="21"/>
                <w:highlight w:val="none"/>
              </w:rPr>
            </w:pPr>
          </w:p>
        </w:tc>
      </w:tr>
      <w:tr w14:paraId="02D30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vAlign w:val="center"/>
          </w:tcPr>
          <w:p w14:paraId="2C62302B">
            <w:pPr>
              <w:pStyle w:val="230"/>
              <w:spacing w:line="360" w:lineRule="auto"/>
              <w:jc w:val="center"/>
              <w:rPr>
                <w:rFonts w:hint="eastAsia" w:hAnsi="宋体" w:eastAsia="宋体" w:cs="宋体"/>
                <w:color w:val="auto"/>
                <w:sz w:val="21"/>
                <w:szCs w:val="21"/>
                <w:highlight w:val="none"/>
              </w:rPr>
            </w:pPr>
          </w:p>
        </w:tc>
        <w:tc>
          <w:tcPr>
            <w:tcW w:w="1300" w:type="dxa"/>
            <w:vAlign w:val="center"/>
          </w:tcPr>
          <w:p w14:paraId="4DDEBC49">
            <w:pPr>
              <w:pStyle w:val="230"/>
              <w:spacing w:line="360" w:lineRule="auto"/>
              <w:jc w:val="center"/>
              <w:rPr>
                <w:rFonts w:hint="eastAsia" w:hAnsi="宋体" w:eastAsia="宋体" w:cs="宋体"/>
                <w:color w:val="auto"/>
                <w:sz w:val="21"/>
                <w:szCs w:val="21"/>
                <w:highlight w:val="none"/>
              </w:rPr>
            </w:pPr>
          </w:p>
        </w:tc>
        <w:tc>
          <w:tcPr>
            <w:tcW w:w="3466" w:type="dxa"/>
            <w:vAlign w:val="center"/>
          </w:tcPr>
          <w:p w14:paraId="74EA0E1D">
            <w:pPr>
              <w:pStyle w:val="230"/>
              <w:spacing w:line="360" w:lineRule="auto"/>
              <w:jc w:val="center"/>
              <w:rPr>
                <w:rFonts w:hint="eastAsia" w:hAnsi="宋体" w:eastAsia="宋体" w:cs="宋体"/>
                <w:color w:val="auto"/>
                <w:sz w:val="21"/>
                <w:szCs w:val="21"/>
                <w:highlight w:val="none"/>
              </w:rPr>
            </w:pPr>
          </w:p>
        </w:tc>
        <w:tc>
          <w:tcPr>
            <w:tcW w:w="1517" w:type="dxa"/>
            <w:vAlign w:val="center"/>
          </w:tcPr>
          <w:p w14:paraId="522C6752">
            <w:pPr>
              <w:pStyle w:val="230"/>
              <w:spacing w:line="360" w:lineRule="auto"/>
              <w:jc w:val="center"/>
              <w:rPr>
                <w:rFonts w:hint="eastAsia" w:hAnsi="宋体" w:eastAsia="宋体" w:cs="宋体"/>
                <w:color w:val="auto"/>
                <w:sz w:val="21"/>
                <w:szCs w:val="21"/>
                <w:highlight w:val="none"/>
              </w:rPr>
            </w:pPr>
          </w:p>
        </w:tc>
        <w:tc>
          <w:tcPr>
            <w:tcW w:w="992" w:type="dxa"/>
            <w:vAlign w:val="center"/>
          </w:tcPr>
          <w:p w14:paraId="0C848724">
            <w:pPr>
              <w:pStyle w:val="230"/>
              <w:spacing w:line="360" w:lineRule="auto"/>
              <w:jc w:val="center"/>
              <w:rPr>
                <w:rFonts w:hint="eastAsia" w:hAnsi="宋体" w:eastAsia="宋体" w:cs="宋体"/>
                <w:color w:val="auto"/>
                <w:sz w:val="21"/>
                <w:szCs w:val="21"/>
                <w:highlight w:val="none"/>
              </w:rPr>
            </w:pPr>
          </w:p>
        </w:tc>
        <w:tc>
          <w:tcPr>
            <w:tcW w:w="1677" w:type="dxa"/>
            <w:vAlign w:val="center"/>
          </w:tcPr>
          <w:p w14:paraId="53411518">
            <w:pPr>
              <w:pStyle w:val="230"/>
              <w:spacing w:line="360" w:lineRule="auto"/>
              <w:jc w:val="center"/>
              <w:rPr>
                <w:rFonts w:hint="eastAsia" w:hAnsi="宋体" w:eastAsia="宋体" w:cs="宋体"/>
                <w:color w:val="auto"/>
                <w:sz w:val="21"/>
                <w:szCs w:val="21"/>
                <w:highlight w:val="none"/>
              </w:rPr>
            </w:pPr>
          </w:p>
        </w:tc>
      </w:tr>
    </w:tbl>
    <w:p w14:paraId="75157877">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注：请按以上格式自制表格填写。</w:t>
      </w:r>
    </w:p>
    <w:p w14:paraId="53BB663E">
      <w:pPr>
        <w:pStyle w:val="240"/>
        <w:spacing w:line="440" w:lineRule="exact"/>
        <w:rPr>
          <w:rFonts w:ascii="Times New Roman" w:hAnsi="Times New Roman" w:eastAsia="宋体"/>
          <w:color w:val="auto"/>
          <w:sz w:val="21"/>
          <w:szCs w:val="21"/>
          <w:highlight w:val="none"/>
        </w:rPr>
      </w:pPr>
    </w:p>
    <w:p w14:paraId="574E306A">
      <w:pPr>
        <w:pStyle w:val="24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响应</w:t>
      </w:r>
      <w:r>
        <w:rPr>
          <w:rFonts w:ascii="Times New Roman" w:hAnsi="Times New Roman" w:eastAsia="宋体"/>
          <w:color w:val="auto"/>
          <w:sz w:val="21"/>
          <w:szCs w:val="21"/>
          <w:highlight w:val="none"/>
        </w:rPr>
        <w:t xml:space="preserve">单位（公章）：  </w:t>
      </w:r>
    </w:p>
    <w:p w14:paraId="6DA42ED1">
      <w:pPr>
        <w:pStyle w:val="24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法定代表人或代理人：（签字或盖章）</w:t>
      </w:r>
    </w:p>
    <w:p w14:paraId="4EA4FFBC">
      <w:pPr>
        <w:spacing w:line="360" w:lineRule="auto"/>
        <w:rPr>
          <w:color w:val="auto"/>
          <w:szCs w:val="21"/>
          <w:highlight w:val="none"/>
        </w:rPr>
      </w:pPr>
      <w:r>
        <w:rPr>
          <w:color w:val="auto"/>
          <w:szCs w:val="21"/>
          <w:highlight w:val="none"/>
        </w:rPr>
        <w:t>日期：     年   月   日</w:t>
      </w:r>
    </w:p>
    <w:p w14:paraId="2AF3BA39">
      <w:pPr>
        <w:widowControl/>
        <w:jc w:val="left"/>
        <w:rPr>
          <w:b/>
          <w:bCs/>
          <w:color w:val="auto"/>
          <w:szCs w:val="21"/>
          <w:highlight w:val="none"/>
        </w:rPr>
      </w:pPr>
    </w:p>
    <w:p w14:paraId="633BD7E6">
      <w:pPr>
        <w:widowControl/>
        <w:jc w:val="left"/>
        <w:rPr>
          <w:b/>
          <w:bCs/>
          <w:color w:val="auto"/>
          <w:szCs w:val="21"/>
          <w:highlight w:val="none"/>
        </w:rPr>
      </w:pPr>
    </w:p>
    <w:p w14:paraId="09D67F6E">
      <w:pPr>
        <w:spacing w:line="360" w:lineRule="auto"/>
        <w:rPr>
          <w:color w:val="auto"/>
          <w:szCs w:val="21"/>
          <w:highlight w:val="none"/>
        </w:rPr>
      </w:pPr>
    </w:p>
    <w:p w14:paraId="04E34F85">
      <w:pPr>
        <w:pStyle w:val="21"/>
        <w:spacing w:line="440" w:lineRule="exact"/>
        <w:jc w:val="left"/>
        <w:outlineLvl w:val="1"/>
        <w:rPr>
          <w:rFonts w:hint="eastAsia" w:hAnsi="宋体"/>
          <w:b/>
          <w:color w:val="auto"/>
          <w:szCs w:val="21"/>
          <w:highlight w:val="none"/>
        </w:rPr>
      </w:pPr>
      <w:r>
        <w:rPr>
          <w:b/>
          <w:bCs/>
          <w:color w:val="auto"/>
          <w:highlight w:val="none"/>
        </w:rPr>
        <w:br w:type="page" w:clear="all"/>
      </w:r>
      <w:r>
        <w:rPr>
          <w:rFonts w:hint="eastAsia" w:hAnsi="宋体"/>
          <w:b/>
          <w:bCs/>
          <w:color w:val="auto"/>
          <w:szCs w:val="21"/>
          <w:highlight w:val="none"/>
        </w:rPr>
        <w:t>格式7：</w:t>
      </w:r>
      <w:r>
        <w:rPr>
          <w:rFonts w:hint="eastAsia" w:hAnsi="宋体"/>
          <w:b/>
          <w:color w:val="auto"/>
          <w:szCs w:val="21"/>
          <w:highlight w:val="none"/>
        </w:rPr>
        <w:t>企业类似业绩一览表</w:t>
      </w:r>
    </w:p>
    <w:p w14:paraId="1F6E4968">
      <w:pPr>
        <w:spacing w:before="156" w:after="156" w:line="440" w:lineRule="exact"/>
        <w:jc w:val="center"/>
        <w:rPr>
          <w:rFonts w:hint="eastAsia" w:ascii="宋体" w:hAnsi="宋体"/>
          <w:b/>
          <w:color w:val="auto"/>
          <w:szCs w:val="21"/>
          <w:highlight w:val="none"/>
        </w:rPr>
      </w:pPr>
      <w:r>
        <w:rPr>
          <w:rFonts w:hint="eastAsia" w:ascii="宋体" w:hAnsi="宋体"/>
          <w:b/>
          <w:color w:val="auto"/>
          <w:szCs w:val="21"/>
          <w:highlight w:val="none"/>
        </w:rPr>
        <w:t>企业类似业绩一览表</w:t>
      </w:r>
    </w:p>
    <w:tbl>
      <w:tblPr>
        <w:tblStyle w:val="43"/>
        <w:tblW w:w="807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00"/>
        <w:gridCol w:w="1417"/>
        <w:gridCol w:w="1700"/>
        <w:gridCol w:w="1395"/>
        <w:gridCol w:w="1590"/>
        <w:gridCol w:w="1268"/>
      </w:tblGrid>
      <w:tr w14:paraId="51591A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740"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14:paraId="6502D513">
            <w:pPr>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lang w:bidi="ar"/>
              </w:rPr>
              <w:t>序号</w:t>
            </w:r>
          </w:p>
        </w:tc>
        <w:tc>
          <w:tcPr>
            <w:tcW w:w="1418" w:type="dxa"/>
            <w:tcBorders>
              <w:top w:val="single" w:color="auto" w:sz="6" w:space="0"/>
              <w:left w:val="single" w:color="auto" w:sz="6" w:space="0"/>
              <w:bottom w:val="single" w:color="auto" w:sz="6" w:space="0"/>
              <w:right w:val="single" w:color="auto" w:sz="6" w:space="0"/>
            </w:tcBorders>
            <w:vAlign w:val="center"/>
          </w:tcPr>
          <w:p w14:paraId="38B51FE1">
            <w:pPr>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lang w:bidi="ar"/>
              </w:rPr>
              <w:t>项目名称</w:t>
            </w:r>
          </w:p>
        </w:tc>
        <w:tc>
          <w:tcPr>
            <w:tcW w:w="1700" w:type="dxa"/>
            <w:tcBorders>
              <w:top w:val="single" w:color="auto" w:sz="6" w:space="0"/>
              <w:left w:val="single" w:color="auto" w:sz="6" w:space="0"/>
              <w:bottom w:val="single" w:color="auto" w:sz="6" w:space="0"/>
              <w:right w:val="single" w:color="auto" w:sz="6" w:space="0"/>
            </w:tcBorders>
            <w:vAlign w:val="center"/>
          </w:tcPr>
          <w:p w14:paraId="1794DCBF">
            <w:pPr>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lang w:bidi="ar"/>
              </w:rPr>
              <w:t>合同期</w:t>
            </w:r>
          </w:p>
        </w:tc>
        <w:tc>
          <w:tcPr>
            <w:tcW w:w="1395" w:type="dxa"/>
            <w:tcBorders>
              <w:top w:val="single" w:color="auto" w:sz="6" w:space="0"/>
              <w:left w:val="single" w:color="auto" w:sz="6" w:space="0"/>
              <w:bottom w:val="single" w:color="auto" w:sz="6" w:space="0"/>
              <w:right w:val="single" w:color="auto" w:sz="4" w:space="0"/>
            </w:tcBorders>
            <w:vAlign w:val="center"/>
          </w:tcPr>
          <w:p w14:paraId="44E55557">
            <w:pPr>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lang w:bidi="ar"/>
              </w:rPr>
              <w:t>管理服务内容</w:t>
            </w:r>
          </w:p>
        </w:tc>
        <w:tc>
          <w:tcPr>
            <w:tcW w:w="1590" w:type="dxa"/>
            <w:tcBorders>
              <w:top w:val="single" w:color="auto" w:sz="6" w:space="0"/>
              <w:left w:val="single" w:color="auto" w:sz="4" w:space="0"/>
              <w:bottom w:val="single" w:color="auto" w:sz="6" w:space="0"/>
              <w:right w:val="single" w:color="auto" w:sz="4" w:space="0"/>
            </w:tcBorders>
            <w:vAlign w:val="center"/>
          </w:tcPr>
          <w:p w14:paraId="2D07CF29">
            <w:pPr>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lang w:bidi="ar"/>
              </w:rPr>
              <w:t>合同金额（万元）</w:t>
            </w:r>
          </w:p>
        </w:tc>
        <w:tc>
          <w:tcPr>
            <w:tcW w:w="1268" w:type="dxa"/>
            <w:tcBorders>
              <w:top w:val="single" w:color="auto" w:sz="6" w:space="0"/>
              <w:left w:val="single" w:color="auto" w:sz="6" w:space="0"/>
              <w:bottom w:val="single" w:color="auto" w:sz="6" w:space="0"/>
              <w:right w:val="single" w:color="auto" w:sz="6" w:space="0"/>
            </w:tcBorders>
            <w:vAlign w:val="center"/>
          </w:tcPr>
          <w:p w14:paraId="1FA32898">
            <w:pPr>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lang w:bidi="ar"/>
              </w:rPr>
              <w:t>备注</w:t>
            </w:r>
          </w:p>
        </w:tc>
      </w:tr>
      <w:tr w14:paraId="77BA28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vAlign w:val="center"/>
          </w:tcPr>
          <w:p w14:paraId="6263EED2">
            <w:pPr>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lang w:bidi="ar"/>
              </w:rPr>
              <w:t>1</w:t>
            </w:r>
          </w:p>
        </w:tc>
        <w:tc>
          <w:tcPr>
            <w:tcW w:w="1418" w:type="dxa"/>
            <w:tcBorders>
              <w:top w:val="single" w:color="auto" w:sz="6" w:space="0"/>
              <w:left w:val="single" w:color="auto" w:sz="6" w:space="0"/>
              <w:bottom w:val="single" w:color="auto" w:sz="6" w:space="0"/>
              <w:right w:val="single" w:color="auto" w:sz="6" w:space="0"/>
            </w:tcBorders>
            <w:vAlign w:val="center"/>
          </w:tcPr>
          <w:p w14:paraId="2ECDDB89">
            <w:pPr>
              <w:spacing w:line="440" w:lineRule="exact"/>
              <w:ind w:left="420"/>
              <w:rPr>
                <w:rFonts w:hint="eastAsia" w:ascii="宋体" w:hAnsi="宋体" w:cs="宋体"/>
                <w:color w:val="auto"/>
                <w:sz w:val="26"/>
                <w:szCs w:val="21"/>
                <w:highlight w:val="none"/>
              </w:rPr>
            </w:pPr>
          </w:p>
        </w:tc>
        <w:tc>
          <w:tcPr>
            <w:tcW w:w="1700" w:type="dxa"/>
            <w:tcBorders>
              <w:top w:val="single" w:color="auto" w:sz="6" w:space="0"/>
              <w:left w:val="single" w:color="auto" w:sz="6" w:space="0"/>
              <w:bottom w:val="single" w:color="auto" w:sz="6" w:space="0"/>
              <w:right w:val="single" w:color="auto" w:sz="6" w:space="0"/>
            </w:tcBorders>
            <w:vAlign w:val="center"/>
          </w:tcPr>
          <w:p w14:paraId="2A6BEA2B">
            <w:pPr>
              <w:spacing w:line="440" w:lineRule="exact"/>
              <w:ind w:left="420"/>
              <w:rPr>
                <w:rFonts w:hint="eastAsia" w:ascii="宋体" w:hAnsi="宋体" w:cs="宋体"/>
                <w:color w:val="auto"/>
                <w:sz w:val="26"/>
                <w:szCs w:val="21"/>
                <w:highlight w:val="none"/>
              </w:rPr>
            </w:pPr>
          </w:p>
        </w:tc>
        <w:tc>
          <w:tcPr>
            <w:tcW w:w="1395" w:type="dxa"/>
            <w:tcBorders>
              <w:top w:val="single" w:color="auto" w:sz="6" w:space="0"/>
              <w:left w:val="single" w:color="auto" w:sz="6" w:space="0"/>
              <w:bottom w:val="single" w:color="auto" w:sz="6" w:space="0"/>
              <w:right w:val="single" w:color="auto" w:sz="4" w:space="0"/>
            </w:tcBorders>
            <w:vAlign w:val="center"/>
          </w:tcPr>
          <w:p w14:paraId="09032D78">
            <w:pPr>
              <w:spacing w:line="440" w:lineRule="exact"/>
              <w:ind w:left="420"/>
              <w:rPr>
                <w:rFonts w:hint="eastAsia" w:ascii="宋体" w:hAnsi="宋体" w:cs="宋体"/>
                <w:color w:val="auto"/>
                <w:sz w:val="26"/>
                <w:szCs w:val="21"/>
                <w:highlight w:val="none"/>
              </w:rPr>
            </w:pPr>
          </w:p>
        </w:tc>
        <w:tc>
          <w:tcPr>
            <w:tcW w:w="1590" w:type="dxa"/>
            <w:tcBorders>
              <w:top w:val="single" w:color="auto" w:sz="6" w:space="0"/>
              <w:left w:val="single" w:color="auto" w:sz="4" w:space="0"/>
              <w:bottom w:val="single" w:color="auto" w:sz="6" w:space="0"/>
              <w:right w:val="single" w:color="auto" w:sz="4" w:space="0"/>
            </w:tcBorders>
            <w:vAlign w:val="center"/>
          </w:tcPr>
          <w:p w14:paraId="59F410C3">
            <w:pPr>
              <w:spacing w:line="440" w:lineRule="exact"/>
              <w:ind w:left="420"/>
              <w:rPr>
                <w:rFonts w:hint="eastAsia" w:ascii="宋体" w:hAnsi="宋体" w:cs="宋体"/>
                <w:color w:val="auto"/>
                <w:sz w:val="26"/>
                <w:szCs w:val="21"/>
                <w:highlight w:val="none"/>
              </w:rPr>
            </w:pPr>
          </w:p>
        </w:tc>
        <w:tc>
          <w:tcPr>
            <w:tcW w:w="1268" w:type="dxa"/>
            <w:tcBorders>
              <w:top w:val="single" w:color="auto" w:sz="6" w:space="0"/>
              <w:left w:val="single" w:color="auto" w:sz="6" w:space="0"/>
              <w:bottom w:val="single" w:color="auto" w:sz="6" w:space="0"/>
              <w:right w:val="single" w:color="auto" w:sz="6" w:space="0"/>
            </w:tcBorders>
            <w:vAlign w:val="center"/>
          </w:tcPr>
          <w:p w14:paraId="0333DD37">
            <w:pPr>
              <w:spacing w:line="440" w:lineRule="exact"/>
              <w:ind w:left="420"/>
              <w:rPr>
                <w:rFonts w:hint="eastAsia" w:ascii="宋体" w:hAnsi="宋体" w:cs="宋体"/>
                <w:color w:val="auto"/>
                <w:sz w:val="26"/>
                <w:szCs w:val="21"/>
                <w:highlight w:val="none"/>
              </w:rPr>
            </w:pPr>
          </w:p>
        </w:tc>
      </w:tr>
      <w:tr w14:paraId="4890BC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vAlign w:val="center"/>
          </w:tcPr>
          <w:p w14:paraId="3BA9CB7A">
            <w:pPr>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lang w:bidi="ar"/>
              </w:rPr>
              <w:t>2</w:t>
            </w:r>
          </w:p>
        </w:tc>
        <w:tc>
          <w:tcPr>
            <w:tcW w:w="1418" w:type="dxa"/>
            <w:tcBorders>
              <w:top w:val="single" w:color="auto" w:sz="6" w:space="0"/>
              <w:left w:val="single" w:color="auto" w:sz="6" w:space="0"/>
              <w:bottom w:val="single" w:color="auto" w:sz="6" w:space="0"/>
              <w:right w:val="single" w:color="auto" w:sz="6" w:space="0"/>
            </w:tcBorders>
            <w:vAlign w:val="center"/>
          </w:tcPr>
          <w:p w14:paraId="7BEFD145">
            <w:pPr>
              <w:spacing w:line="440" w:lineRule="exact"/>
              <w:ind w:left="420"/>
              <w:rPr>
                <w:rFonts w:hint="eastAsia" w:ascii="宋体" w:hAnsi="宋体" w:cs="宋体"/>
                <w:color w:val="auto"/>
                <w:sz w:val="26"/>
                <w:szCs w:val="21"/>
                <w:highlight w:val="none"/>
              </w:rPr>
            </w:pPr>
          </w:p>
        </w:tc>
        <w:tc>
          <w:tcPr>
            <w:tcW w:w="1700" w:type="dxa"/>
            <w:tcBorders>
              <w:top w:val="single" w:color="auto" w:sz="6" w:space="0"/>
              <w:left w:val="single" w:color="auto" w:sz="6" w:space="0"/>
              <w:bottom w:val="single" w:color="auto" w:sz="6" w:space="0"/>
              <w:right w:val="single" w:color="auto" w:sz="6" w:space="0"/>
            </w:tcBorders>
            <w:vAlign w:val="center"/>
          </w:tcPr>
          <w:p w14:paraId="3A3C4EFC">
            <w:pPr>
              <w:spacing w:line="440" w:lineRule="exact"/>
              <w:ind w:left="420"/>
              <w:rPr>
                <w:rFonts w:hint="eastAsia" w:ascii="宋体" w:hAnsi="宋体" w:cs="宋体"/>
                <w:color w:val="auto"/>
                <w:sz w:val="26"/>
                <w:szCs w:val="21"/>
                <w:highlight w:val="none"/>
              </w:rPr>
            </w:pPr>
          </w:p>
        </w:tc>
        <w:tc>
          <w:tcPr>
            <w:tcW w:w="1395" w:type="dxa"/>
            <w:tcBorders>
              <w:top w:val="single" w:color="auto" w:sz="6" w:space="0"/>
              <w:left w:val="single" w:color="auto" w:sz="6" w:space="0"/>
              <w:bottom w:val="single" w:color="auto" w:sz="6" w:space="0"/>
              <w:right w:val="single" w:color="auto" w:sz="4" w:space="0"/>
            </w:tcBorders>
            <w:vAlign w:val="center"/>
          </w:tcPr>
          <w:p w14:paraId="36AEEA65">
            <w:pPr>
              <w:spacing w:line="440" w:lineRule="exact"/>
              <w:ind w:left="420"/>
              <w:rPr>
                <w:rFonts w:hint="eastAsia" w:ascii="宋体" w:hAnsi="宋体" w:cs="宋体"/>
                <w:color w:val="auto"/>
                <w:sz w:val="26"/>
                <w:szCs w:val="21"/>
                <w:highlight w:val="none"/>
              </w:rPr>
            </w:pPr>
          </w:p>
        </w:tc>
        <w:tc>
          <w:tcPr>
            <w:tcW w:w="1590" w:type="dxa"/>
            <w:tcBorders>
              <w:top w:val="single" w:color="auto" w:sz="6" w:space="0"/>
              <w:left w:val="single" w:color="auto" w:sz="4" w:space="0"/>
              <w:bottom w:val="single" w:color="auto" w:sz="6" w:space="0"/>
              <w:right w:val="single" w:color="auto" w:sz="4" w:space="0"/>
            </w:tcBorders>
            <w:vAlign w:val="center"/>
          </w:tcPr>
          <w:p w14:paraId="6F62FE27">
            <w:pPr>
              <w:spacing w:line="440" w:lineRule="exact"/>
              <w:ind w:left="420"/>
              <w:rPr>
                <w:rFonts w:hint="eastAsia" w:ascii="宋体" w:hAnsi="宋体" w:cs="宋体"/>
                <w:color w:val="auto"/>
                <w:sz w:val="26"/>
                <w:szCs w:val="21"/>
                <w:highlight w:val="none"/>
              </w:rPr>
            </w:pPr>
          </w:p>
        </w:tc>
        <w:tc>
          <w:tcPr>
            <w:tcW w:w="1268" w:type="dxa"/>
            <w:tcBorders>
              <w:top w:val="single" w:color="auto" w:sz="6" w:space="0"/>
              <w:left w:val="single" w:color="auto" w:sz="6" w:space="0"/>
              <w:bottom w:val="single" w:color="auto" w:sz="6" w:space="0"/>
              <w:right w:val="single" w:color="auto" w:sz="6" w:space="0"/>
            </w:tcBorders>
            <w:vAlign w:val="center"/>
          </w:tcPr>
          <w:p w14:paraId="43BD19BA">
            <w:pPr>
              <w:spacing w:line="440" w:lineRule="exact"/>
              <w:ind w:left="420"/>
              <w:rPr>
                <w:rFonts w:hint="eastAsia" w:ascii="宋体" w:hAnsi="宋体" w:cs="宋体"/>
                <w:color w:val="auto"/>
                <w:sz w:val="26"/>
                <w:szCs w:val="21"/>
                <w:highlight w:val="none"/>
              </w:rPr>
            </w:pPr>
          </w:p>
        </w:tc>
      </w:tr>
      <w:tr w14:paraId="14D2E3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vAlign w:val="center"/>
          </w:tcPr>
          <w:p w14:paraId="7393C31C">
            <w:pPr>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lang w:bidi="ar"/>
              </w:rPr>
              <w:t>3</w:t>
            </w:r>
          </w:p>
        </w:tc>
        <w:tc>
          <w:tcPr>
            <w:tcW w:w="1418" w:type="dxa"/>
            <w:tcBorders>
              <w:top w:val="single" w:color="auto" w:sz="6" w:space="0"/>
              <w:left w:val="single" w:color="auto" w:sz="6" w:space="0"/>
              <w:bottom w:val="single" w:color="auto" w:sz="6" w:space="0"/>
              <w:right w:val="single" w:color="auto" w:sz="6" w:space="0"/>
            </w:tcBorders>
            <w:vAlign w:val="center"/>
          </w:tcPr>
          <w:p w14:paraId="06B108C7">
            <w:pPr>
              <w:spacing w:line="440" w:lineRule="exact"/>
              <w:ind w:left="420"/>
              <w:rPr>
                <w:rFonts w:hint="eastAsia" w:ascii="宋体" w:hAnsi="宋体" w:cs="宋体"/>
                <w:color w:val="auto"/>
                <w:sz w:val="26"/>
                <w:szCs w:val="21"/>
                <w:highlight w:val="none"/>
              </w:rPr>
            </w:pPr>
          </w:p>
        </w:tc>
        <w:tc>
          <w:tcPr>
            <w:tcW w:w="1700" w:type="dxa"/>
            <w:tcBorders>
              <w:top w:val="single" w:color="auto" w:sz="6" w:space="0"/>
              <w:left w:val="single" w:color="auto" w:sz="6" w:space="0"/>
              <w:bottom w:val="single" w:color="auto" w:sz="6" w:space="0"/>
              <w:right w:val="single" w:color="auto" w:sz="6" w:space="0"/>
            </w:tcBorders>
            <w:vAlign w:val="center"/>
          </w:tcPr>
          <w:p w14:paraId="50AA7AA8">
            <w:pPr>
              <w:spacing w:line="440" w:lineRule="exact"/>
              <w:ind w:left="420"/>
              <w:rPr>
                <w:rFonts w:hint="eastAsia" w:ascii="宋体" w:hAnsi="宋体" w:cs="宋体"/>
                <w:color w:val="auto"/>
                <w:sz w:val="26"/>
                <w:szCs w:val="21"/>
                <w:highlight w:val="none"/>
              </w:rPr>
            </w:pPr>
          </w:p>
        </w:tc>
        <w:tc>
          <w:tcPr>
            <w:tcW w:w="1395" w:type="dxa"/>
            <w:tcBorders>
              <w:top w:val="single" w:color="auto" w:sz="6" w:space="0"/>
              <w:left w:val="single" w:color="auto" w:sz="6" w:space="0"/>
              <w:bottom w:val="single" w:color="auto" w:sz="6" w:space="0"/>
              <w:right w:val="single" w:color="auto" w:sz="4" w:space="0"/>
            </w:tcBorders>
            <w:vAlign w:val="center"/>
          </w:tcPr>
          <w:p w14:paraId="373059FF">
            <w:pPr>
              <w:spacing w:line="440" w:lineRule="exact"/>
              <w:ind w:left="420"/>
              <w:rPr>
                <w:rFonts w:hint="eastAsia" w:ascii="宋体" w:hAnsi="宋体" w:cs="宋体"/>
                <w:color w:val="auto"/>
                <w:sz w:val="26"/>
                <w:szCs w:val="21"/>
                <w:highlight w:val="none"/>
              </w:rPr>
            </w:pPr>
          </w:p>
        </w:tc>
        <w:tc>
          <w:tcPr>
            <w:tcW w:w="1590" w:type="dxa"/>
            <w:tcBorders>
              <w:top w:val="single" w:color="auto" w:sz="6" w:space="0"/>
              <w:left w:val="single" w:color="auto" w:sz="4" w:space="0"/>
              <w:bottom w:val="single" w:color="auto" w:sz="6" w:space="0"/>
              <w:right w:val="single" w:color="auto" w:sz="4" w:space="0"/>
            </w:tcBorders>
            <w:vAlign w:val="center"/>
          </w:tcPr>
          <w:p w14:paraId="54F952BE">
            <w:pPr>
              <w:spacing w:line="440" w:lineRule="exact"/>
              <w:ind w:left="420"/>
              <w:rPr>
                <w:rFonts w:hint="eastAsia" w:ascii="宋体" w:hAnsi="宋体" w:cs="宋体"/>
                <w:color w:val="auto"/>
                <w:sz w:val="26"/>
                <w:szCs w:val="21"/>
                <w:highlight w:val="none"/>
              </w:rPr>
            </w:pPr>
          </w:p>
        </w:tc>
        <w:tc>
          <w:tcPr>
            <w:tcW w:w="1268" w:type="dxa"/>
            <w:tcBorders>
              <w:top w:val="single" w:color="auto" w:sz="6" w:space="0"/>
              <w:left w:val="single" w:color="auto" w:sz="6" w:space="0"/>
              <w:bottom w:val="single" w:color="auto" w:sz="6" w:space="0"/>
              <w:right w:val="single" w:color="auto" w:sz="6" w:space="0"/>
            </w:tcBorders>
            <w:vAlign w:val="center"/>
          </w:tcPr>
          <w:p w14:paraId="7BE82B52">
            <w:pPr>
              <w:spacing w:line="440" w:lineRule="exact"/>
              <w:ind w:left="420"/>
              <w:rPr>
                <w:rFonts w:hint="eastAsia" w:ascii="宋体" w:hAnsi="宋体" w:cs="宋体"/>
                <w:color w:val="auto"/>
                <w:sz w:val="26"/>
                <w:szCs w:val="21"/>
                <w:highlight w:val="none"/>
              </w:rPr>
            </w:pPr>
          </w:p>
        </w:tc>
      </w:tr>
      <w:tr w14:paraId="659411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vAlign w:val="center"/>
          </w:tcPr>
          <w:p w14:paraId="795B345D">
            <w:pPr>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lang w:bidi="ar"/>
              </w:rPr>
              <w:t>4</w:t>
            </w:r>
          </w:p>
        </w:tc>
        <w:tc>
          <w:tcPr>
            <w:tcW w:w="1418" w:type="dxa"/>
            <w:tcBorders>
              <w:top w:val="single" w:color="auto" w:sz="6" w:space="0"/>
              <w:left w:val="single" w:color="auto" w:sz="6" w:space="0"/>
              <w:bottom w:val="single" w:color="auto" w:sz="6" w:space="0"/>
              <w:right w:val="single" w:color="auto" w:sz="6" w:space="0"/>
            </w:tcBorders>
            <w:vAlign w:val="center"/>
          </w:tcPr>
          <w:p w14:paraId="3AF4CAEC">
            <w:pPr>
              <w:spacing w:line="440" w:lineRule="exact"/>
              <w:ind w:left="420"/>
              <w:rPr>
                <w:rFonts w:hint="eastAsia" w:ascii="宋体" w:hAnsi="宋体" w:cs="宋体"/>
                <w:color w:val="auto"/>
                <w:sz w:val="26"/>
                <w:szCs w:val="21"/>
                <w:highlight w:val="none"/>
              </w:rPr>
            </w:pPr>
          </w:p>
        </w:tc>
        <w:tc>
          <w:tcPr>
            <w:tcW w:w="1700" w:type="dxa"/>
            <w:tcBorders>
              <w:top w:val="single" w:color="auto" w:sz="6" w:space="0"/>
              <w:left w:val="single" w:color="auto" w:sz="6" w:space="0"/>
              <w:bottom w:val="single" w:color="auto" w:sz="6" w:space="0"/>
              <w:right w:val="single" w:color="auto" w:sz="6" w:space="0"/>
            </w:tcBorders>
            <w:vAlign w:val="center"/>
          </w:tcPr>
          <w:p w14:paraId="5C199261">
            <w:pPr>
              <w:spacing w:line="440" w:lineRule="exact"/>
              <w:ind w:left="420"/>
              <w:rPr>
                <w:rFonts w:hint="eastAsia" w:ascii="宋体" w:hAnsi="宋体" w:cs="宋体"/>
                <w:color w:val="auto"/>
                <w:sz w:val="26"/>
                <w:szCs w:val="21"/>
                <w:highlight w:val="none"/>
              </w:rPr>
            </w:pPr>
          </w:p>
        </w:tc>
        <w:tc>
          <w:tcPr>
            <w:tcW w:w="1395" w:type="dxa"/>
            <w:tcBorders>
              <w:top w:val="single" w:color="auto" w:sz="6" w:space="0"/>
              <w:left w:val="single" w:color="auto" w:sz="6" w:space="0"/>
              <w:bottom w:val="single" w:color="auto" w:sz="6" w:space="0"/>
              <w:right w:val="single" w:color="auto" w:sz="4" w:space="0"/>
            </w:tcBorders>
            <w:vAlign w:val="center"/>
          </w:tcPr>
          <w:p w14:paraId="5C117A7D">
            <w:pPr>
              <w:spacing w:line="440" w:lineRule="exact"/>
              <w:ind w:left="420"/>
              <w:rPr>
                <w:rFonts w:hint="eastAsia" w:ascii="宋体" w:hAnsi="宋体" w:cs="宋体"/>
                <w:color w:val="auto"/>
                <w:sz w:val="26"/>
                <w:szCs w:val="21"/>
                <w:highlight w:val="none"/>
              </w:rPr>
            </w:pPr>
          </w:p>
        </w:tc>
        <w:tc>
          <w:tcPr>
            <w:tcW w:w="1590" w:type="dxa"/>
            <w:tcBorders>
              <w:top w:val="single" w:color="auto" w:sz="6" w:space="0"/>
              <w:left w:val="single" w:color="auto" w:sz="4" w:space="0"/>
              <w:bottom w:val="single" w:color="auto" w:sz="6" w:space="0"/>
              <w:right w:val="single" w:color="auto" w:sz="4" w:space="0"/>
            </w:tcBorders>
            <w:vAlign w:val="center"/>
          </w:tcPr>
          <w:p w14:paraId="2594F2CA">
            <w:pPr>
              <w:spacing w:line="440" w:lineRule="exact"/>
              <w:ind w:left="420"/>
              <w:rPr>
                <w:rFonts w:hint="eastAsia" w:ascii="宋体" w:hAnsi="宋体" w:cs="宋体"/>
                <w:color w:val="auto"/>
                <w:sz w:val="26"/>
                <w:szCs w:val="21"/>
                <w:highlight w:val="none"/>
              </w:rPr>
            </w:pPr>
          </w:p>
        </w:tc>
        <w:tc>
          <w:tcPr>
            <w:tcW w:w="1268" w:type="dxa"/>
            <w:tcBorders>
              <w:top w:val="single" w:color="auto" w:sz="6" w:space="0"/>
              <w:left w:val="single" w:color="auto" w:sz="6" w:space="0"/>
              <w:bottom w:val="single" w:color="auto" w:sz="6" w:space="0"/>
              <w:right w:val="single" w:color="auto" w:sz="6" w:space="0"/>
            </w:tcBorders>
            <w:vAlign w:val="center"/>
          </w:tcPr>
          <w:p w14:paraId="5E330001">
            <w:pPr>
              <w:spacing w:line="440" w:lineRule="exact"/>
              <w:ind w:left="420"/>
              <w:rPr>
                <w:rFonts w:hint="eastAsia" w:ascii="宋体" w:hAnsi="宋体" w:cs="宋体"/>
                <w:color w:val="auto"/>
                <w:sz w:val="26"/>
                <w:szCs w:val="21"/>
                <w:highlight w:val="none"/>
              </w:rPr>
            </w:pPr>
          </w:p>
        </w:tc>
      </w:tr>
      <w:tr w14:paraId="29BB2E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vAlign w:val="center"/>
          </w:tcPr>
          <w:p w14:paraId="7C67FF13">
            <w:pPr>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lang w:bidi="ar"/>
              </w:rPr>
              <w:t>5</w:t>
            </w:r>
          </w:p>
        </w:tc>
        <w:tc>
          <w:tcPr>
            <w:tcW w:w="1418" w:type="dxa"/>
            <w:tcBorders>
              <w:top w:val="single" w:color="auto" w:sz="6" w:space="0"/>
              <w:left w:val="single" w:color="auto" w:sz="6" w:space="0"/>
              <w:bottom w:val="single" w:color="auto" w:sz="6" w:space="0"/>
              <w:right w:val="single" w:color="auto" w:sz="6" w:space="0"/>
            </w:tcBorders>
            <w:vAlign w:val="center"/>
          </w:tcPr>
          <w:p w14:paraId="3CB168C6">
            <w:pPr>
              <w:spacing w:line="440" w:lineRule="exact"/>
              <w:ind w:left="420"/>
              <w:rPr>
                <w:rFonts w:hint="eastAsia" w:ascii="宋体" w:hAnsi="宋体" w:cs="宋体"/>
                <w:color w:val="auto"/>
                <w:sz w:val="26"/>
                <w:szCs w:val="21"/>
                <w:highlight w:val="none"/>
              </w:rPr>
            </w:pPr>
          </w:p>
        </w:tc>
        <w:tc>
          <w:tcPr>
            <w:tcW w:w="1700" w:type="dxa"/>
            <w:tcBorders>
              <w:top w:val="single" w:color="auto" w:sz="6" w:space="0"/>
              <w:left w:val="single" w:color="auto" w:sz="6" w:space="0"/>
              <w:bottom w:val="single" w:color="auto" w:sz="6" w:space="0"/>
              <w:right w:val="single" w:color="auto" w:sz="6" w:space="0"/>
            </w:tcBorders>
            <w:vAlign w:val="center"/>
          </w:tcPr>
          <w:p w14:paraId="7D0D4AEB">
            <w:pPr>
              <w:spacing w:line="440" w:lineRule="exact"/>
              <w:ind w:left="420"/>
              <w:rPr>
                <w:rFonts w:hint="eastAsia" w:ascii="宋体" w:hAnsi="宋体" w:cs="宋体"/>
                <w:color w:val="auto"/>
                <w:sz w:val="26"/>
                <w:szCs w:val="21"/>
                <w:highlight w:val="none"/>
              </w:rPr>
            </w:pPr>
          </w:p>
        </w:tc>
        <w:tc>
          <w:tcPr>
            <w:tcW w:w="1395" w:type="dxa"/>
            <w:tcBorders>
              <w:top w:val="single" w:color="auto" w:sz="6" w:space="0"/>
              <w:left w:val="single" w:color="auto" w:sz="6" w:space="0"/>
              <w:bottom w:val="single" w:color="auto" w:sz="6" w:space="0"/>
              <w:right w:val="single" w:color="auto" w:sz="4" w:space="0"/>
            </w:tcBorders>
            <w:vAlign w:val="center"/>
          </w:tcPr>
          <w:p w14:paraId="02001528">
            <w:pPr>
              <w:spacing w:line="440" w:lineRule="exact"/>
              <w:ind w:left="420"/>
              <w:rPr>
                <w:rFonts w:hint="eastAsia" w:ascii="宋体" w:hAnsi="宋体" w:cs="宋体"/>
                <w:color w:val="auto"/>
                <w:sz w:val="26"/>
                <w:szCs w:val="21"/>
                <w:highlight w:val="none"/>
              </w:rPr>
            </w:pPr>
          </w:p>
        </w:tc>
        <w:tc>
          <w:tcPr>
            <w:tcW w:w="1590" w:type="dxa"/>
            <w:tcBorders>
              <w:top w:val="single" w:color="auto" w:sz="6" w:space="0"/>
              <w:left w:val="single" w:color="auto" w:sz="4" w:space="0"/>
              <w:bottom w:val="single" w:color="auto" w:sz="6" w:space="0"/>
              <w:right w:val="single" w:color="auto" w:sz="4" w:space="0"/>
            </w:tcBorders>
            <w:vAlign w:val="center"/>
          </w:tcPr>
          <w:p w14:paraId="583855B4">
            <w:pPr>
              <w:spacing w:line="440" w:lineRule="exact"/>
              <w:ind w:left="420"/>
              <w:rPr>
                <w:rFonts w:hint="eastAsia" w:ascii="宋体" w:hAnsi="宋体" w:cs="宋体"/>
                <w:color w:val="auto"/>
                <w:sz w:val="26"/>
                <w:szCs w:val="21"/>
                <w:highlight w:val="none"/>
              </w:rPr>
            </w:pPr>
          </w:p>
        </w:tc>
        <w:tc>
          <w:tcPr>
            <w:tcW w:w="1268" w:type="dxa"/>
            <w:tcBorders>
              <w:top w:val="single" w:color="auto" w:sz="6" w:space="0"/>
              <w:left w:val="single" w:color="auto" w:sz="6" w:space="0"/>
              <w:bottom w:val="single" w:color="auto" w:sz="6" w:space="0"/>
              <w:right w:val="single" w:color="auto" w:sz="6" w:space="0"/>
            </w:tcBorders>
            <w:vAlign w:val="center"/>
          </w:tcPr>
          <w:p w14:paraId="043CC0C0">
            <w:pPr>
              <w:spacing w:line="440" w:lineRule="exact"/>
              <w:ind w:left="420"/>
              <w:rPr>
                <w:rFonts w:hint="eastAsia" w:ascii="宋体" w:hAnsi="宋体" w:cs="宋体"/>
                <w:color w:val="auto"/>
                <w:sz w:val="26"/>
                <w:szCs w:val="21"/>
                <w:highlight w:val="none"/>
              </w:rPr>
            </w:pPr>
          </w:p>
        </w:tc>
      </w:tr>
      <w:tr w14:paraId="06332D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textDirection w:val="tbRlV"/>
            <w:vAlign w:val="center"/>
          </w:tcPr>
          <w:p w14:paraId="0CF42A3D">
            <w:pPr>
              <w:spacing w:line="440" w:lineRule="exact"/>
              <w:ind w:left="113" w:right="113"/>
              <w:jc w:val="center"/>
              <w:rPr>
                <w:rFonts w:hint="eastAsia" w:ascii="宋体" w:hAnsi="宋体" w:cs="宋体"/>
                <w:color w:val="auto"/>
                <w:sz w:val="26"/>
                <w:szCs w:val="21"/>
                <w:highlight w:val="none"/>
              </w:rPr>
            </w:pPr>
          </w:p>
        </w:tc>
        <w:tc>
          <w:tcPr>
            <w:tcW w:w="1418" w:type="dxa"/>
            <w:tcBorders>
              <w:top w:val="single" w:color="auto" w:sz="6" w:space="0"/>
              <w:left w:val="single" w:color="auto" w:sz="6" w:space="0"/>
              <w:bottom w:val="single" w:color="auto" w:sz="6" w:space="0"/>
              <w:right w:val="single" w:color="auto" w:sz="6" w:space="0"/>
            </w:tcBorders>
            <w:vAlign w:val="center"/>
          </w:tcPr>
          <w:p w14:paraId="0E05270D">
            <w:pPr>
              <w:spacing w:line="440" w:lineRule="exact"/>
              <w:ind w:left="420"/>
              <w:rPr>
                <w:rFonts w:hint="eastAsia" w:ascii="宋体" w:hAnsi="宋体" w:cs="宋体"/>
                <w:color w:val="auto"/>
                <w:sz w:val="26"/>
                <w:szCs w:val="21"/>
                <w:highlight w:val="none"/>
              </w:rPr>
            </w:pPr>
          </w:p>
        </w:tc>
        <w:tc>
          <w:tcPr>
            <w:tcW w:w="1700" w:type="dxa"/>
            <w:tcBorders>
              <w:top w:val="single" w:color="auto" w:sz="6" w:space="0"/>
              <w:left w:val="single" w:color="auto" w:sz="6" w:space="0"/>
              <w:bottom w:val="single" w:color="auto" w:sz="6" w:space="0"/>
              <w:right w:val="single" w:color="auto" w:sz="6" w:space="0"/>
            </w:tcBorders>
            <w:vAlign w:val="center"/>
          </w:tcPr>
          <w:p w14:paraId="76B7DCBC">
            <w:pPr>
              <w:spacing w:line="440" w:lineRule="exact"/>
              <w:ind w:left="420"/>
              <w:rPr>
                <w:rFonts w:hint="eastAsia" w:ascii="宋体" w:hAnsi="宋体" w:cs="宋体"/>
                <w:color w:val="auto"/>
                <w:sz w:val="26"/>
                <w:szCs w:val="21"/>
                <w:highlight w:val="none"/>
              </w:rPr>
            </w:pPr>
          </w:p>
        </w:tc>
        <w:tc>
          <w:tcPr>
            <w:tcW w:w="1395" w:type="dxa"/>
            <w:tcBorders>
              <w:top w:val="single" w:color="auto" w:sz="6" w:space="0"/>
              <w:left w:val="single" w:color="auto" w:sz="6" w:space="0"/>
              <w:bottom w:val="single" w:color="auto" w:sz="6" w:space="0"/>
              <w:right w:val="single" w:color="auto" w:sz="4" w:space="0"/>
            </w:tcBorders>
            <w:vAlign w:val="center"/>
          </w:tcPr>
          <w:p w14:paraId="069C0F49">
            <w:pPr>
              <w:spacing w:line="440" w:lineRule="exact"/>
              <w:ind w:left="420"/>
              <w:rPr>
                <w:rFonts w:hint="eastAsia" w:ascii="宋体" w:hAnsi="宋体" w:cs="宋体"/>
                <w:color w:val="auto"/>
                <w:sz w:val="26"/>
                <w:szCs w:val="21"/>
                <w:highlight w:val="none"/>
              </w:rPr>
            </w:pPr>
          </w:p>
        </w:tc>
        <w:tc>
          <w:tcPr>
            <w:tcW w:w="1590" w:type="dxa"/>
            <w:tcBorders>
              <w:top w:val="single" w:color="auto" w:sz="6" w:space="0"/>
              <w:left w:val="single" w:color="auto" w:sz="4" w:space="0"/>
              <w:bottom w:val="single" w:color="auto" w:sz="6" w:space="0"/>
              <w:right w:val="single" w:color="auto" w:sz="4" w:space="0"/>
            </w:tcBorders>
            <w:vAlign w:val="center"/>
          </w:tcPr>
          <w:p w14:paraId="2C032815">
            <w:pPr>
              <w:spacing w:line="440" w:lineRule="exact"/>
              <w:ind w:left="420"/>
              <w:rPr>
                <w:rFonts w:hint="eastAsia" w:ascii="宋体" w:hAnsi="宋体" w:cs="宋体"/>
                <w:color w:val="auto"/>
                <w:sz w:val="26"/>
                <w:szCs w:val="21"/>
                <w:highlight w:val="none"/>
              </w:rPr>
            </w:pPr>
          </w:p>
        </w:tc>
        <w:tc>
          <w:tcPr>
            <w:tcW w:w="1268" w:type="dxa"/>
            <w:tcBorders>
              <w:top w:val="single" w:color="auto" w:sz="6" w:space="0"/>
              <w:left w:val="single" w:color="auto" w:sz="6" w:space="0"/>
              <w:bottom w:val="single" w:color="auto" w:sz="6" w:space="0"/>
              <w:right w:val="single" w:color="auto" w:sz="6" w:space="0"/>
            </w:tcBorders>
            <w:vAlign w:val="center"/>
          </w:tcPr>
          <w:p w14:paraId="102568D3">
            <w:pPr>
              <w:spacing w:line="440" w:lineRule="exact"/>
              <w:ind w:left="420"/>
              <w:rPr>
                <w:rFonts w:hint="eastAsia" w:ascii="宋体" w:hAnsi="宋体" w:cs="宋体"/>
                <w:color w:val="auto"/>
                <w:sz w:val="26"/>
                <w:szCs w:val="21"/>
                <w:highlight w:val="none"/>
              </w:rPr>
            </w:pPr>
          </w:p>
        </w:tc>
      </w:tr>
      <w:tr w14:paraId="7E2C3B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vAlign w:val="center"/>
          </w:tcPr>
          <w:p w14:paraId="745854CF">
            <w:pPr>
              <w:spacing w:line="440" w:lineRule="exact"/>
              <w:jc w:val="center"/>
              <w:rPr>
                <w:rFonts w:hint="eastAsia" w:ascii="宋体" w:hAnsi="宋体" w:cs="宋体"/>
                <w:color w:val="auto"/>
                <w:sz w:val="26"/>
                <w:szCs w:val="21"/>
                <w:highlight w:val="none"/>
              </w:rPr>
            </w:pPr>
          </w:p>
        </w:tc>
        <w:tc>
          <w:tcPr>
            <w:tcW w:w="1418" w:type="dxa"/>
            <w:tcBorders>
              <w:top w:val="single" w:color="auto" w:sz="6" w:space="0"/>
              <w:left w:val="single" w:color="auto" w:sz="6" w:space="0"/>
              <w:bottom w:val="single" w:color="auto" w:sz="6" w:space="0"/>
              <w:right w:val="single" w:color="auto" w:sz="6" w:space="0"/>
            </w:tcBorders>
            <w:vAlign w:val="center"/>
          </w:tcPr>
          <w:p w14:paraId="7BBA7E02">
            <w:pPr>
              <w:spacing w:line="440" w:lineRule="exact"/>
              <w:jc w:val="center"/>
              <w:rPr>
                <w:rFonts w:hint="eastAsia" w:ascii="宋体" w:hAnsi="宋体" w:cs="宋体"/>
                <w:color w:val="auto"/>
                <w:sz w:val="26"/>
                <w:szCs w:val="21"/>
                <w:highlight w:val="none"/>
              </w:rPr>
            </w:pPr>
          </w:p>
        </w:tc>
        <w:tc>
          <w:tcPr>
            <w:tcW w:w="1700" w:type="dxa"/>
            <w:tcBorders>
              <w:top w:val="single" w:color="auto" w:sz="6" w:space="0"/>
              <w:left w:val="single" w:color="auto" w:sz="6" w:space="0"/>
              <w:bottom w:val="single" w:color="auto" w:sz="6" w:space="0"/>
              <w:right w:val="single" w:color="auto" w:sz="6" w:space="0"/>
            </w:tcBorders>
            <w:vAlign w:val="center"/>
          </w:tcPr>
          <w:p w14:paraId="3C8119D3">
            <w:pPr>
              <w:spacing w:line="440" w:lineRule="exact"/>
              <w:jc w:val="center"/>
              <w:rPr>
                <w:rFonts w:hint="eastAsia" w:ascii="宋体" w:hAnsi="宋体" w:cs="宋体"/>
                <w:color w:val="auto"/>
                <w:sz w:val="26"/>
                <w:szCs w:val="21"/>
                <w:highlight w:val="none"/>
              </w:rPr>
            </w:pPr>
          </w:p>
        </w:tc>
        <w:tc>
          <w:tcPr>
            <w:tcW w:w="1395" w:type="dxa"/>
            <w:tcBorders>
              <w:top w:val="single" w:color="auto" w:sz="6" w:space="0"/>
              <w:left w:val="single" w:color="auto" w:sz="6" w:space="0"/>
              <w:bottom w:val="single" w:color="auto" w:sz="6" w:space="0"/>
              <w:right w:val="single" w:color="auto" w:sz="4" w:space="0"/>
            </w:tcBorders>
            <w:vAlign w:val="center"/>
          </w:tcPr>
          <w:p w14:paraId="3FC87A4F">
            <w:pPr>
              <w:spacing w:line="440" w:lineRule="exact"/>
              <w:jc w:val="center"/>
              <w:rPr>
                <w:rFonts w:hint="eastAsia" w:ascii="宋体" w:hAnsi="宋体" w:cs="宋体"/>
                <w:color w:val="auto"/>
                <w:sz w:val="26"/>
                <w:szCs w:val="21"/>
                <w:highlight w:val="none"/>
              </w:rPr>
            </w:pPr>
          </w:p>
        </w:tc>
        <w:tc>
          <w:tcPr>
            <w:tcW w:w="1590" w:type="dxa"/>
            <w:tcBorders>
              <w:top w:val="single" w:color="auto" w:sz="6" w:space="0"/>
              <w:left w:val="single" w:color="auto" w:sz="4" w:space="0"/>
              <w:bottom w:val="single" w:color="auto" w:sz="6" w:space="0"/>
              <w:right w:val="single" w:color="auto" w:sz="4" w:space="0"/>
            </w:tcBorders>
            <w:vAlign w:val="center"/>
          </w:tcPr>
          <w:p w14:paraId="09090D8E">
            <w:pPr>
              <w:spacing w:line="440" w:lineRule="exact"/>
              <w:jc w:val="center"/>
              <w:rPr>
                <w:rFonts w:hint="eastAsia" w:ascii="宋体" w:hAnsi="宋体" w:cs="宋体"/>
                <w:color w:val="auto"/>
                <w:sz w:val="26"/>
                <w:szCs w:val="21"/>
                <w:highlight w:val="none"/>
              </w:rPr>
            </w:pPr>
          </w:p>
        </w:tc>
        <w:tc>
          <w:tcPr>
            <w:tcW w:w="1268" w:type="dxa"/>
            <w:tcBorders>
              <w:top w:val="single" w:color="auto" w:sz="6" w:space="0"/>
              <w:left w:val="single" w:color="auto" w:sz="6" w:space="0"/>
              <w:bottom w:val="single" w:color="auto" w:sz="6" w:space="0"/>
              <w:right w:val="single" w:color="auto" w:sz="6" w:space="0"/>
            </w:tcBorders>
            <w:vAlign w:val="center"/>
          </w:tcPr>
          <w:p w14:paraId="3B59C6CB">
            <w:pPr>
              <w:spacing w:line="440" w:lineRule="exact"/>
              <w:jc w:val="center"/>
              <w:rPr>
                <w:rFonts w:hint="eastAsia" w:ascii="宋体" w:hAnsi="宋体" w:cs="宋体"/>
                <w:color w:val="auto"/>
                <w:sz w:val="26"/>
                <w:szCs w:val="21"/>
                <w:highlight w:val="none"/>
              </w:rPr>
            </w:pPr>
          </w:p>
        </w:tc>
      </w:tr>
      <w:tr w14:paraId="05E1AD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vAlign w:val="center"/>
          </w:tcPr>
          <w:p w14:paraId="01E6261B">
            <w:pPr>
              <w:spacing w:line="440" w:lineRule="exact"/>
              <w:jc w:val="center"/>
              <w:rPr>
                <w:rFonts w:hint="eastAsia" w:ascii="宋体" w:hAnsi="宋体" w:cs="宋体"/>
                <w:color w:val="auto"/>
                <w:sz w:val="26"/>
                <w:szCs w:val="21"/>
                <w:highlight w:val="none"/>
              </w:rPr>
            </w:pPr>
          </w:p>
        </w:tc>
        <w:tc>
          <w:tcPr>
            <w:tcW w:w="1418" w:type="dxa"/>
            <w:tcBorders>
              <w:top w:val="single" w:color="auto" w:sz="6" w:space="0"/>
              <w:left w:val="single" w:color="auto" w:sz="6" w:space="0"/>
              <w:bottom w:val="single" w:color="auto" w:sz="6" w:space="0"/>
              <w:right w:val="single" w:color="auto" w:sz="6" w:space="0"/>
            </w:tcBorders>
            <w:vAlign w:val="center"/>
          </w:tcPr>
          <w:p w14:paraId="755092AD">
            <w:pPr>
              <w:spacing w:line="440" w:lineRule="exact"/>
              <w:jc w:val="center"/>
              <w:rPr>
                <w:rFonts w:hint="eastAsia" w:ascii="宋体" w:hAnsi="宋体" w:cs="宋体"/>
                <w:color w:val="auto"/>
                <w:sz w:val="26"/>
                <w:szCs w:val="21"/>
                <w:highlight w:val="none"/>
              </w:rPr>
            </w:pPr>
          </w:p>
        </w:tc>
        <w:tc>
          <w:tcPr>
            <w:tcW w:w="1700" w:type="dxa"/>
            <w:tcBorders>
              <w:top w:val="single" w:color="auto" w:sz="6" w:space="0"/>
              <w:left w:val="single" w:color="auto" w:sz="6" w:space="0"/>
              <w:bottom w:val="single" w:color="auto" w:sz="6" w:space="0"/>
              <w:right w:val="single" w:color="auto" w:sz="6" w:space="0"/>
            </w:tcBorders>
            <w:vAlign w:val="center"/>
          </w:tcPr>
          <w:p w14:paraId="2F17F1E2">
            <w:pPr>
              <w:spacing w:line="440" w:lineRule="exact"/>
              <w:jc w:val="center"/>
              <w:rPr>
                <w:rFonts w:hint="eastAsia" w:ascii="宋体" w:hAnsi="宋体" w:cs="宋体"/>
                <w:color w:val="auto"/>
                <w:sz w:val="26"/>
                <w:szCs w:val="21"/>
                <w:highlight w:val="none"/>
              </w:rPr>
            </w:pPr>
          </w:p>
        </w:tc>
        <w:tc>
          <w:tcPr>
            <w:tcW w:w="1395" w:type="dxa"/>
            <w:tcBorders>
              <w:top w:val="single" w:color="auto" w:sz="6" w:space="0"/>
              <w:left w:val="single" w:color="auto" w:sz="6" w:space="0"/>
              <w:bottom w:val="single" w:color="auto" w:sz="6" w:space="0"/>
              <w:right w:val="single" w:color="auto" w:sz="4" w:space="0"/>
            </w:tcBorders>
            <w:vAlign w:val="center"/>
          </w:tcPr>
          <w:p w14:paraId="44A73F65">
            <w:pPr>
              <w:spacing w:line="440" w:lineRule="exact"/>
              <w:jc w:val="center"/>
              <w:rPr>
                <w:rFonts w:hint="eastAsia" w:ascii="宋体" w:hAnsi="宋体" w:cs="宋体"/>
                <w:color w:val="auto"/>
                <w:sz w:val="26"/>
                <w:szCs w:val="21"/>
                <w:highlight w:val="none"/>
              </w:rPr>
            </w:pPr>
          </w:p>
        </w:tc>
        <w:tc>
          <w:tcPr>
            <w:tcW w:w="1590" w:type="dxa"/>
            <w:tcBorders>
              <w:top w:val="single" w:color="auto" w:sz="6" w:space="0"/>
              <w:left w:val="single" w:color="auto" w:sz="4" w:space="0"/>
              <w:bottom w:val="single" w:color="auto" w:sz="6" w:space="0"/>
              <w:right w:val="single" w:color="auto" w:sz="4" w:space="0"/>
            </w:tcBorders>
            <w:vAlign w:val="center"/>
          </w:tcPr>
          <w:p w14:paraId="5F37ECCB">
            <w:pPr>
              <w:spacing w:line="440" w:lineRule="exact"/>
              <w:jc w:val="center"/>
              <w:rPr>
                <w:rFonts w:hint="eastAsia" w:ascii="宋体" w:hAnsi="宋体" w:cs="宋体"/>
                <w:color w:val="auto"/>
                <w:sz w:val="26"/>
                <w:szCs w:val="21"/>
                <w:highlight w:val="none"/>
              </w:rPr>
            </w:pPr>
          </w:p>
        </w:tc>
        <w:tc>
          <w:tcPr>
            <w:tcW w:w="1268" w:type="dxa"/>
            <w:tcBorders>
              <w:top w:val="single" w:color="auto" w:sz="6" w:space="0"/>
              <w:left w:val="single" w:color="auto" w:sz="6" w:space="0"/>
              <w:bottom w:val="single" w:color="auto" w:sz="6" w:space="0"/>
              <w:right w:val="single" w:color="auto" w:sz="6" w:space="0"/>
            </w:tcBorders>
            <w:vAlign w:val="center"/>
          </w:tcPr>
          <w:p w14:paraId="7F83FF2F">
            <w:pPr>
              <w:spacing w:line="440" w:lineRule="exact"/>
              <w:jc w:val="center"/>
              <w:rPr>
                <w:rFonts w:hint="eastAsia" w:ascii="宋体" w:hAnsi="宋体" w:cs="宋体"/>
                <w:color w:val="auto"/>
                <w:sz w:val="26"/>
                <w:szCs w:val="21"/>
                <w:highlight w:val="none"/>
              </w:rPr>
            </w:pPr>
          </w:p>
        </w:tc>
      </w:tr>
    </w:tbl>
    <w:p w14:paraId="3DC24D4C">
      <w:pPr>
        <w:pStyle w:val="12"/>
        <w:spacing w:line="440" w:lineRule="exact"/>
        <w:ind w:firstLine="0"/>
        <w:rPr>
          <w:rFonts w:hint="eastAsia" w:ascii="宋体" w:hAnsi="宋体" w:eastAsia="宋体"/>
          <w:b/>
          <w:color w:val="auto"/>
          <w:sz w:val="21"/>
          <w:szCs w:val="21"/>
          <w:highlight w:val="none"/>
        </w:rPr>
      </w:pPr>
    </w:p>
    <w:p w14:paraId="621C2CC8">
      <w:pPr>
        <w:pStyle w:val="24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响应</w:t>
      </w:r>
      <w:r>
        <w:rPr>
          <w:rFonts w:ascii="Times New Roman" w:hAnsi="Times New Roman" w:eastAsia="宋体"/>
          <w:color w:val="auto"/>
          <w:sz w:val="21"/>
          <w:szCs w:val="21"/>
          <w:highlight w:val="none"/>
        </w:rPr>
        <w:t xml:space="preserve">单位（公章）：  </w:t>
      </w:r>
    </w:p>
    <w:p w14:paraId="6DEEDC21">
      <w:pPr>
        <w:pStyle w:val="24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法定代表人或代理人：（签字或盖章）</w:t>
      </w:r>
    </w:p>
    <w:p w14:paraId="7F7FD845">
      <w:pPr>
        <w:spacing w:line="360" w:lineRule="auto"/>
        <w:rPr>
          <w:color w:val="auto"/>
          <w:szCs w:val="21"/>
          <w:highlight w:val="none"/>
        </w:rPr>
      </w:pPr>
      <w:r>
        <w:rPr>
          <w:color w:val="auto"/>
          <w:szCs w:val="21"/>
          <w:highlight w:val="none"/>
        </w:rPr>
        <w:t>日期：     年   月   日</w:t>
      </w:r>
    </w:p>
    <w:p w14:paraId="6698B9B0">
      <w:pPr>
        <w:pStyle w:val="202"/>
        <w:rPr>
          <w:color w:val="auto"/>
          <w:highlight w:val="none"/>
        </w:rPr>
      </w:pPr>
    </w:p>
    <w:p w14:paraId="0C188110">
      <w:pPr>
        <w:spacing w:line="360" w:lineRule="auto"/>
        <w:jc w:val="left"/>
        <w:outlineLvl w:val="1"/>
        <w:rPr>
          <w:b/>
          <w:bCs/>
          <w:color w:val="auto"/>
          <w:highlight w:val="none"/>
        </w:rPr>
      </w:pPr>
      <w:r>
        <w:rPr>
          <w:b/>
          <w:bCs/>
          <w:color w:val="auto"/>
          <w:highlight w:val="none"/>
        </w:rPr>
        <w:br w:type="page" w:clear="all"/>
      </w:r>
      <w:r>
        <w:rPr>
          <w:b/>
          <w:bCs/>
          <w:color w:val="auto"/>
          <w:highlight w:val="none"/>
        </w:rPr>
        <w:t>格式</w:t>
      </w:r>
      <w:r>
        <w:rPr>
          <w:rFonts w:hint="eastAsia"/>
          <w:b/>
          <w:bCs/>
          <w:color w:val="auto"/>
          <w:highlight w:val="none"/>
        </w:rPr>
        <w:t>8：</w:t>
      </w:r>
      <w:r>
        <w:rPr>
          <w:b/>
          <w:bCs/>
          <w:color w:val="auto"/>
          <w:highlight w:val="none"/>
        </w:rPr>
        <w:t>服务方案</w:t>
      </w:r>
    </w:p>
    <w:p w14:paraId="231BFA69">
      <w:pPr>
        <w:pStyle w:val="16"/>
        <w:ind w:firstLine="562"/>
        <w:jc w:val="center"/>
        <w:rPr>
          <w:b/>
          <w:bCs/>
          <w:color w:val="auto"/>
          <w:highlight w:val="none"/>
        </w:rPr>
      </w:pPr>
      <w:bookmarkStart w:id="45" w:name="gpcItem_pack_1_code_7"/>
      <w:r>
        <w:rPr>
          <w:b/>
          <w:bCs/>
          <w:color w:val="auto"/>
          <w:highlight w:val="none"/>
        </w:rPr>
        <w:t>服务实施方案</w:t>
      </w:r>
      <w:bookmarkEnd w:id="45"/>
    </w:p>
    <w:p w14:paraId="03625F72">
      <w:pPr>
        <w:pStyle w:val="202"/>
        <w:rPr>
          <w:color w:val="auto"/>
          <w:highlight w:val="none"/>
          <w:lang w:val="en-US"/>
        </w:rPr>
      </w:pP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25648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8" w:hRule="atLeast"/>
          <w:jc w:val="center"/>
        </w:trPr>
        <w:tc>
          <w:tcPr>
            <w:tcW w:w="8522" w:type="dxa"/>
            <w:tcBorders>
              <w:top w:val="single" w:color="auto" w:sz="4" w:space="0"/>
              <w:left w:val="single" w:color="auto" w:sz="4" w:space="0"/>
              <w:bottom w:val="single" w:color="auto" w:sz="4" w:space="0"/>
              <w:right w:val="single" w:color="auto" w:sz="4" w:space="0"/>
            </w:tcBorders>
          </w:tcPr>
          <w:p w14:paraId="6FF44EF6">
            <w:pPr>
              <w:tabs>
                <w:tab w:val="left" w:pos="1320"/>
              </w:tabs>
              <w:spacing w:line="360" w:lineRule="auto"/>
              <w:rPr>
                <w:rFonts w:ascii="Calibri" w:hAnsi="Calibri"/>
                <w:color w:val="auto"/>
                <w:szCs w:val="21"/>
                <w:highlight w:val="none"/>
              </w:rPr>
            </w:pPr>
            <w:r>
              <w:rPr>
                <w:rFonts w:ascii="Calibri" w:hAnsi="Calibri"/>
                <w:color w:val="auto"/>
                <w:szCs w:val="21"/>
                <w:highlight w:val="none"/>
              </w:rPr>
              <w:t>提示：</w:t>
            </w:r>
          </w:p>
          <w:p w14:paraId="0A861634">
            <w:pPr>
              <w:tabs>
                <w:tab w:val="left" w:pos="360"/>
              </w:tabs>
              <w:spacing w:line="440" w:lineRule="exact"/>
              <w:ind w:left="360" w:hanging="360"/>
              <w:jc w:val="left"/>
              <w:rPr>
                <w:rFonts w:hint="eastAsia" w:ascii="宋体" w:hAnsi="宋体" w:cs="宋体"/>
                <w:color w:val="auto"/>
                <w:szCs w:val="21"/>
                <w:highlight w:val="none"/>
                <w:lang w:val="zh-CN"/>
              </w:rPr>
            </w:pPr>
            <w:r>
              <w:rPr>
                <w:rFonts w:ascii="宋体" w:hAnsi="宋体" w:cs="宋体"/>
                <w:color w:val="auto"/>
                <w:szCs w:val="21"/>
                <w:highlight w:val="none"/>
                <w:lang w:val="zh-CN"/>
              </w:rPr>
              <w:t>1</w:t>
            </w:r>
            <w:r>
              <w:rPr>
                <w:rFonts w:hint="eastAsia" w:ascii="宋体" w:hAnsi="宋体" w:cs="宋体"/>
                <w:color w:val="auto"/>
                <w:szCs w:val="21"/>
                <w:highlight w:val="none"/>
                <w:lang w:val="zh-CN"/>
              </w:rPr>
              <w:t>、供应商应针对本项目特点编写成交后拟采取的方案。</w:t>
            </w:r>
          </w:p>
          <w:p w14:paraId="550E6C7B">
            <w:pPr>
              <w:spacing w:line="360" w:lineRule="auto"/>
              <w:rPr>
                <w:rFonts w:ascii="Calibri" w:hAnsi="Calibri"/>
                <w:color w:val="auto"/>
                <w:szCs w:val="21"/>
                <w:highlight w:val="none"/>
              </w:rPr>
            </w:pPr>
            <w:r>
              <w:rPr>
                <w:rFonts w:ascii="宋体" w:hAnsi="宋体" w:cs="宋体"/>
                <w:color w:val="auto"/>
                <w:szCs w:val="21"/>
                <w:highlight w:val="none"/>
                <w:lang w:val="zh-CN"/>
              </w:rPr>
              <w:t>2</w:t>
            </w:r>
            <w:r>
              <w:rPr>
                <w:rFonts w:hint="eastAsia" w:ascii="宋体" w:hAnsi="宋体" w:cs="宋体"/>
                <w:color w:val="auto"/>
                <w:szCs w:val="21"/>
                <w:highlight w:val="none"/>
                <w:lang w:val="zh-CN"/>
              </w:rPr>
              <w:t>、供应商可根据自身情况编写，本页不够可另加页附后。</w:t>
            </w:r>
          </w:p>
        </w:tc>
      </w:tr>
      <w:tr w14:paraId="1FECA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jc w:val="center"/>
        </w:trPr>
        <w:tc>
          <w:tcPr>
            <w:tcW w:w="8522" w:type="dxa"/>
            <w:tcBorders>
              <w:top w:val="single" w:color="auto" w:sz="4" w:space="0"/>
              <w:left w:val="single" w:color="auto" w:sz="4" w:space="0"/>
              <w:bottom w:val="single" w:color="auto" w:sz="4" w:space="0"/>
              <w:right w:val="single" w:color="auto" w:sz="4" w:space="0"/>
            </w:tcBorders>
          </w:tcPr>
          <w:p w14:paraId="1DD7E7DC">
            <w:pPr>
              <w:tabs>
                <w:tab w:val="left" w:pos="1320"/>
              </w:tabs>
              <w:spacing w:line="360" w:lineRule="auto"/>
              <w:rPr>
                <w:rFonts w:ascii="Calibri" w:hAnsi="Calibri"/>
                <w:color w:val="auto"/>
                <w:szCs w:val="21"/>
                <w:highlight w:val="none"/>
              </w:rPr>
            </w:pPr>
          </w:p>
          <w:p w14:paraId="7EE6AE72">
            <w:pPr>
              <w:tabs>
                <w:tab w:val="left" w:pos="1320"/>
              </w:tabs>
              <w:spacing w:line="360" w:lineRule="auto"/>
              <w:rPr>
                <w:rFonts w:ascii="Calibri" w:hAnsi="Calibri"/>
                <w:color w:val="auto"/>
                <w:szCs w:val="21"/>
                <w:highlight w:val="none"/>
              </w:rPr>
            </w:pPr>
          </w:p>
          <w:p w14:paraId="72BF4F36">
            <w:pPr>
              <w:tabs>
                <w:tab w:val="left" w:pos="1320"/>
              </w:tabs>
              <w:spacing w:line="360" w:lineRule="auto"/>
              <w:rPr>
                <w:rFonts w:ascii="Calibri" w:hAnsi="Calibri"/>
                <w:color w:val="auto"/>
                <w:szCs w:val="21"/>
                <w:highlight w:val="none"/>
              </w:rPr>
            </w:pPr>
          </w:p>
          <w:p w14:paraId="304EB7F0">
            <w:pPr>
              <w:tabs>
                <w:tab w:val="left" w:pos="1320"/>
              </w:tabs>
              <w:spacing w:line="360" w:lineRule="auto"/>
              <w:rPr>
                <w:rFonts w:ascii="Calibri" w:hAnsi="Calibri"/>
                <w:color w:val="auto"/>
                <w:szCs w:val="21"/>
                <w:highlight w:val="none"/>
              </w:rPr>
            </w:pPr>
          </w:p>
          <w:p w14:paraId="56F34CA0">
            <w:pPr>
              <w:tabs>
                <w:tab w:val="left" w:pos="1320"/>
              </w:tabs>
              <w:spacing w:line="360" w:lineRule="auto"/>
              <w:rPr>
                <w:rFonts w:ascii="Calibri" w:hAnsi="Calibri"/>
                <w:color w:val="auto"/>
                <w:szCs w:val="21"/>
                <w:highlight w:val="none"/>
              </w:rPr>
            </w:pPr>
          </w:p>
          <w:p w14:paraId="4ECF792E">
            <w:pPr>
              <w:tabs>
                <w:tab w:val="left" w:pos="1320"/>
              </w:tabs>
              <w:spacing w:line="360" w:lineRule="auto"/>
              <w:rPr>
                <w:rFonts w:ascii="Calibri" w:hAnsi="Calibri"/>
                <w:color w:val="auto"/>
                <w:szCs w:val="21"/>
                <w:highlight w:val="none"/>
              </w:rPr>
            </w:pPr>
          </w:p>
          <w:p w14:paraId="0868B880">
            <w:pPr>
              <w:tabs>
                <w:tab w:val="left" w:pos="1320"/>
              </w:tabs>
              <w:spacing w:line="360" w:lineRule="auto"/>
              <w:rPr>
                <w:rFonts w:ascii="Calibri" w:hAnsi="Calibri"/>
                <w:color w:val="auto"/>
                <w:szCs w:val="21"/>
                <w:highlight w:val="none"/>
              </w:rPr>
            </w:pPr>
          </w:p>
          <w:p w14:paraId="347AB15C">
            <w:pPr>
              <w:tabs>
                <w:tab w:val="left" w:pos="1320"/>
              </w:tabs>
              <w:spacing w:line="360" w:lineRule="auto"/>
              <w:rPr>
                <w:rFonts w:ascii="Calibri" w:hAnsi="Calibri"/>
                <w:color w:val="auto"/>
                <w:szCs w:val="21"/>
                <w:highlight w:val="none"/>
              </w:rPr>
            </w:pPr>
          </w:p>
          <w:p w14:paraId="61F2EC5D">
            <w:pPr>
              <w:tabs>
                <w:tab w:val="left" w:pos="1320"/>
              </w:tabs>
              <w:spacing w:line="360" w:lineRule="auto"/>
              <w:rPr>
                <w:rFonts w:ascii="Calibri" w:hAnsi="Calibri"/>
                <w:color w:val="auto"/>
                <w:szCs w:val="21"/>
                <w:highlight w:val="none"/>
              </w:rPr>
            </w:pPr>
          </w:p>
          <w:p w14:paraId="3F6292BD">
            <w:pPr>
              <w:tabs>
                <w:tab w:val="left" w:pos="1320"/>
              </w:tabs>
              <w:spacing w:line="360" w:lineRule="auto"/>
              <w:rPr>
                <w:rFonts w:ascii="Calibri" w:hAnsi="Calibri"/>
                <w:color w:val="auto"/>
                <w:szCs w:val="21"/>
                <w:highlight w:val="none"/>
              </w:rPr>
            </w:pPr>
          </w:p>
          <w:p w14:paraId="43A4262A">
            <w:pPr>
              <w:tabs>
                <w:tab w:val="left" w:pos="1320"/>
              </w:tabs>
              <w:spacing w:line="360" w:lineRule="auto"/>
              <w:rPr>
                <w:rFonts w:ascii="Calibri" w:hAnsi="Calibri"/>
                <w:color w:val="auto"/>
                <w:szCs w:val="21"/>
                <w:highlight w:val="none"/>
              </w:rPr>
            </w:pPr>
          </w:p>
          <w:p w14:paraId="0B58FA5E">
            <w:pPr>
              <w:tabs>
                <w:tab w:val="left" w:pos="1320"/>
              </w:tabs>
              <w:spacing w:line="360" w:lineRule="auto"/>
              <w:rPr>
                <w:rFonts w:ascii="Calibri" w:hAnsi="Calibri"/>
                <w:color w:val="auto"/>
                <w:szCs w:val="21"/>
                <w:highlight w:val="none"/>
              </w:rPr>
            </w:pPr>
          </w:p>
          <w:p w14:paraId="6F89AB35">
            <w:pPr>
              <w:tabs>
                <w:tab w:val="left" w:pos="1320"/>
              </w:tabs>
              <w:spacing w:line="360" w:lineRule="auto"/>
              <w:rPr>
                <w:rFonts w:ascii="Calibri" w:hAnsi="Calibri"/>
                <w:color w:val="auto"/>
                <w:szCs w:val="21"/>
                <w:highlight w:val="none"/>
              </w:rPr>
            </w:pPr>
          </w:p>
          <w:p w14:paraId="0F79FFE6">
            <w:pPr>
              <w:tabs>
                <w:tab w:val="left" w:pos="1320"/>
              </w:tabs>
              <w:spacing w:line="360" w:lineRule="auto"/>
              <w:rPr>
                <w:rFonts w:ascii="Calibri" w:hAnsi="Calibri"/>
                <w:color w:val="auto"/>
                <w:szCs w:val="21"/>
                <w:highlight w:val="none"/>
              </w:rPr>
            </w:pPr>
          </w:p>
          <w:p w14:paraId="565AE6E8">
            <w:pPr>
              <w:tabs>
                <w:tab w:val="left" w:pos="1320"/>
              </w:tabs>
              <w:spacing w:line="360" w:lineRule="auto"/>
              <w:rPr>
                <w:rFonts w:ascii="Calibri" w:hAnsi="Calibri"/>
                <w:color w:val="auto"/>
                <w:szCs w:val="21"/>
                <w:highlight w:val="none"/>
              </w:rPr>
            </w:pPr>
          </w:p>
          <w:p w14:paraId="78592FA4">
            <w:pPr>
              <w:tabs>
                <w:tab w:val="left" w:pos="1320"/>
              </w:tabs>
              <w:spacing w:line="360" w:lineRule="auto"/>
              <w:rPr>
                <w:rFonts w:ascii="Calibri" w:hAnsi="Calibri"/>
                <w:color w:val="auto"/>
                <w:szCs w:val="21"/>
                <w:highlight w:val="none"/>
              </w:rPr>
            </w:pPr>
          </w:p>
          <w:p w14:paraId="10858CDC">
            <w:pPr>
              <w:tabs>
                <w:tab w:val="left" w:pos="1320"/>
              </w:tabs>
              <w:spacing w:line="360" w:lineRule="auto"/>
              <w:rPr>
                <w:rFonts w:ascii="Calibri" w:hAnsi="Calibri"/>
                <w:color w:val="auto"/>
                <w:szCs w:val="21"/>
                <w:highlight w:val="none"/>
              </w:rPr>
            </w:pPr>
          </w:p>
          <w:p w14:paraId="6E798526">
            <w:pPr>
              <w:tabs>
                <w:tab w:val="left" w:pos="1320"/>
              </w:tabs>
              <w:spacing w:line="360" w:lineRule="auto"/>
              <w:rPr>
                <w:rFonts w:ascii="Calibri" w:hAnsi="Calibri"/>
                <w:color w:val="auto"/>
                <w:szCs w:val="21"/>
                <w:highlight w:val="none"/>
                <w:u w:val="single"/>
              </w:rPr>
            </w:pPr>
            <w:r>
              <w:rPr>
                <w:rFonts w:ascii="Calibri" w:hAnsi="Calibri"/>
                <w:color w:val="auto"/>
                <w:szCs w:val="21"/>
                <w:highlight w:val="none"/>
              </w:rPr>
              <w:t xml:space="preserve">                               单位名称（盖章）：</w:t>
            </w:r>
            <w:r>
              <w:rPr>
                <w:rFonts w:ascii="Calibri" w:hAnsi="Calibri"/>
                <w:color w:val="auto"/>
                <w:szCs w:val="21"/>
                <w:highlight w:val="none"/>
                <w:u w:val="single"/>
              </w:rPr>
              <w:t xml:space="preserve">                       </w:t>
            </w:r>
          </w:p>
          <w:p w14:paraId="46F5E99B">
            <w:pPr>
              <w:tabs>
                <w:tab w:val="left" w:pos="1320"/>
              </w:tabs>
              <w:spacing w:line="360" w:lineRule="auto"/>
              <w:ind w:firstLine="1785"/>
              <w:rPr>
                <w:rFonts w:ascii="Calibri" w:hAnsi="Calibri"/>
                <w:color w:val="auto"/>
                <w:szCs w:val="21"/>
                <w:highlight w:val="none"/>
                <w:u w:val="single"/>
              </w:rPr>
            </w:pPr>
          </w:p>
          <w:p w14:paraId="630FC13D">
            <w:pPr>
              <w:tabs>
                <w:tab w:val="left" w:pos="1320"/>
              </w:tabs>
              <w:spacing w:line="360" w:lineRule="auto"/>
              <w:ind w:firstLine="3255"/>
              <w:rPr>
                <w:rFonts w:ascii="Calibri" w:hAnsi="Calibri"/>
                <w:bCs/>
                <w:color w:val="auto"/>
                <w:szCs w:val="21"/>
                <w:highlight w:val="none"/>
              </w:rPr>
            </w:pPr>
            <w:r>
              <w:rPr>
                <w:rFonts w:ascii="Calibri" w:hAnsi="Calibri"/>
                <w:bCs/>
                <w:color w:val="auto"/>
                <w:szCs w:val="21"/>
                <w:highlight w:val="none"/>
              </w:rPr>
              <w:t>日期：</w:t>
            </w:r>
          </w:p>
          <w:p w14:paraId="6E752A82">
            <w:pPr>
              <w:tabs>
                <w:tab w:val="left" w:pos="1320"/>
              </w:tabs>
              <w:spacing w:line="360" w:lineRule="auto"/>
              <w:ind w:firstLine="210"/>
              <w:rPr>
                <w:rFonts w:ascii="Calibri" w:hAnsi="Calibri"/>
                <w:color w:val="auto"/>
                <w:szCs w:val="21"/>
                <w:highlight w:val="none"/>
              </w:rPr>
            </w:pPr>
          </w:p>
        </w:tc>
      </w:tr>
    </w:tbl>
    <w:p w14:paraId="54A55F51">
      <w:pPr>
        <w:pStyle w:val="202"/>
        <w:ind w:firstLine="0"/>
        <w:rPr>
          <w:color w:val="auto"/>
          <w:highlight w:val="none"/>
          <w:lang w:val="en-US"/>
        </w:rPr>
      </w:pPr>
    </w:p>
    <w:p w14:paraId="67467C71">
      <w:pPr>
        <w:spacing w:line="360" w:lineRule="auto"/>
        <w:rPr>
          <w:color w:val="auto"/>
          <w:szCs w:val="22"/>
          <w:highlight w:val="none"/>
        </w:rPr>
      </w:pPr>
    </w:p>
    <w:p w14:paraId="1620E8F9">
      <w:pPr>
        <w:spacing w:line="440" w:lineRule="exact"/>
        <w:jc w:val="left"/>
        <w:outlineLvl w:val="1"/>
        <w:rPr>
          <w:b/>
          <w:color w:val="auto"/>
          <w:szCs w:val="21"/>
          <w:highlight w:val="none"/>
        </w:rPr>
      </w:pPr>
      <w:r>
        <w:rPr>
          <w:b/>
          <w:bCs/>
          <w:color w:val="auto"/>
          <w:highlight w:val="none"/>
        </w:rPr>
        <w:br w:type="page" w:clear="all"/>
      </w:r>
      <w:r>
        <w:rPr>
          <w:b/>
          <w:bCs/>
          <w:color w:val="auto"/>
          <w:highlight w:val="none"/>
        </w:rPr>
        <w:t>格式</w:t>
      </w:r>
      <w:r>
        <w:rPr>
          <w:rFonts w:hint="eastAsia"/>
          <w:b/>
          <w:bCs/>
          <w:color w:val="auto"/>
          <w:highlight w:val="none"/>
        </w:rPr>
        <w:t>9</w:t>
      </w:r>
      <w:r>
        <w:rPr>
          <w:b/>
          <w:bCs/>
          <w:color w:val="auto"/>
          <w:highlight w:val="none"/>
        </w:rPr>
        <w:t>：</w:t>
      </w:r>
      <w:r>
        <w:rPr>
          <w:b/>
          <w:color w:val="auto"/>
          <w:szCs w:val="21"/>
          <w:highlight w:val="none"/>
        </w:rPr>
        <w:t>响应单位</w:t>
      </w:r>
      <w:r>
        <w:rPr>
          <w:rFonts w:hint="eastAsia"/>
          <w:b/>
          <w:color w:val="auto"/>
          <w:szCs w:val="21"/>
          <w:highlight w:val="none"/>
        </w:rPr>
        <w:t>基本</w:t>
      </w:r>
      <w:r>
        <w:rPr>
          <w:b/>
          <w:color w:val="auto"/>
          <w:szCs w:val="21"/>
          <w:highlight w:val="none"/>
        </w:rPr>
        <w:t>情况表</w:t>
      </w:r>
    </w:p>
    <w:p w14:paraId="07965DD8">
      <w:pPr>
        <w:pStyle w:val="202"/>
        <w:ind w:firstLine="422"/>
        <w:jc w:val="center"/>
        <w:rPr>
          <w:color w:val="auto"/>
          <w:sz w:val="21"/>
          <w:szCs w:val="21"/>
          <w:highlight w:val="none"/>
          <w:lang w:val="en-US"/>
        </w:rPr>
      </w:pPr>
      <w:r>
        <w:rPr>
          <w:b/>
          <w:color w:val="auto"/>
          <w:sz w:val="21"/>
          <w:szCs w:val="21"/>
          <w:highlight w:val="none"/>
        </w:rPr>
        <w:t>响应单位</w:t>
      </w:r>
      <w:r>
        <w:rPr>
          <w:rFonts w:hint="eastAsia"/>
          <w:b/>
          <w:color w:val="auto"/>
          <w:sz w:val="21"/>
          <w:szCs w:val="21"/>
          <w:highlight w:val="none"/>
          <w:lang w:val="en-US"/>
        </w:rPr>
        <w:t>基本</w:t>
      </w:r>
      <w:r>
        <w:rPr>
          <w:b/>
          <w:color w:val="auto"/>
          <w:sz w:val="21"/>
          <w:szCs w:val="21"/>
          <w:highlight w:val="none"/>
        </w:rPr>
        <w:t>情况表</w:t>
      </w:r>
    </w:p>
    <w:p w14:paraId="2E9AE297">
      <w:pPr>
        <w:spacing w:line="440" w:lineRule="exact"/>
        <w:ind w:firstLine="420"/>
        <w:jc w:val="left"/>
        <w:rPr>
          <w:color w:val="auto"/>
          <w:szCs w:val="21"/>
          <w:highlight w:val="none"/>
        </w:rPr>
      </w:pPr>
      <w:r>
        <w:rPr>
          <w:color w:val="auto"/>
          <w:szCs w:val="21"/>
          <w:highlight w:val="none"/>
        </w:rPr>
        <w:t>单位名称（盖章）</w:t>
      </w:r>
    </w:p>
    <w:tbl>
      <w:tblPr>
        <w:tblStyle w:val="43"/>
        <w:tblW w:w="9073" w:type="dxa"/>
        <w:jc w:val="center"/>
        <w:tblLayout w:type="fixed"/>
        <w:tblCellMar>
          <w:top w:w="0" w:type="dxa"/>
          <w:left w:w="0" w:type="dxa"/>
          <w:bottom w:w="0" w:type="dxa"/>
          <w:right w:w="0" w:type="dxa"/>
        </w:tblCellMar>
      </w:tblPr>
      <w:tblGrid>
        <w:gridCol w:w="2552"/>
        <w:gridCol w:w="2268"/>
        <w:gridCol w:w="1418"/>
        <w:gridCol w:w="2835"/>
      </w:tblGrid>
      <w:tr w14:paraId="56BD0780">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06F37A66">
            <w:pPr>
              <w:spacing w:line="360" w:lineRule="auto"/>
              <w:jc w:val="center"/>
              <w:rPr>
                <w:color w:val="auto"/>
                <w:highlight w:val="none"/>
              </w:rPr>
            </w:pPr>
            <w:bookmarkStart w:id="46" w:name="_Toc23960"/>
            <w:bookmarkStart w:id="47" w:name="_Toc15575"/>
            <w:r>
              <w:rPr>
                <w:color w:val="auto"/>
                <w:highlight w:val="none"/>
              </w:rPr>
              <w:t>法定代表人</w:t>
            </w:r>
          </w:p>
        </w:tc>
        <w:tc>
          <w:tcPr>
            <w:tcW w:w="2268"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45AB4FBB">
            <w:pPr>
              <w:spacing w:line="360" w:lineRule="auto"/>
              <w:jc w:val="center"/>
              <w:rPr>
                <w:color w:val="auto"/>
                <w:highlight w:val="none"/>
              </w:rPr>
            </w:pPr>
          </w:p>
        </w:tc>
        <w:tc>
          <w:tcPr>
            <w:tcW w:w="1418"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581E8702">
            <w:pPr>
              <w:spacing w:line="360" w:lineRule="auto"/>
              <w:jc w:val="center"/>
              <w:rPr>
                <w:color w:val="auto"/>
                <w:highlight w:val="none"/>
              </w:rPr>
            </w:pPr>
            <w:r>
              <w:rPr>
                <w:color w:val="auto"/>
                <w:highlight w:val="none"/>
              </w:rPr>
              <w:t>成立日期</w:t>
            </w:r>
          </w:p>
        </w:tc>
        <w:tc>
          <w:tcPr>
            <w:tcW w:w="283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262E3BE8">
            <w:pPr>
              <w:spacing w:line="360" w:lineRule="auto"/>
              <w:jc w:val="center"/>
              <w:rPr>
                <w:color w:val="auto"/>
                <w:highlight w:val="none"/>
              </w:rPr>
            </w:pPr>
          </w:p>
        </w:tc>
      </w:tr>
      <w:tr w14:paraId="142044B9">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2CD599A2">
            <w:pPr>
              <w:spacing w:line="360" w:lineRule="auto"/>
              <w:jc w:val="center"/>
              <w:rPr>
                <w:color w:val="auto"/>
                <w:highlight w:val="none"/>
              </w:rPr>
            </w:pPr>
            <w:r>
              <w:rPr>
                <w:color w:val="auto"/>
                <w:highlight w:val="none"/>
              </w:rPr>
              <w:t>注册地址</w:t>
            </w:r>
          </w:p>
        </w:tc>
        <w:tc>
          <w:tcPr>
            <w:tcW w:w="2268"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1973B76B">
            <w:pPr>
              <w:spacing w:line="360" w:lineRule="auto"/>
              <w:jc w:val="center"/>
              <w:rPr>
                <w:color w:val="auto"/>
                <w:highlight w:val="none"/>
              </w:rPr>
            </w:pPr>
          </w:p>
        </w:tc>
        <w:tc>
          <w:tcPr>
            <w:tcW w:w="1418"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07503600">
            <w:pPr>
              <w:spacing w:line="360" w:lineRule="auto"/>
              <w:jc w:val="center"/>
              <w:rPr>
                <w:color w:val="auto"/>
                <w:highlight w:val="none"/>
              </w:rPr>
            </w:pPr>
            <w:r>
              <w:rPr>
                <w:color w:val="auto"/>
                <w:highlight w:val="none"/>
              </w:rPr>
              <w:t>注册资金</w:t>
            </w:r>
          </w:p>
        </w:tc>
        <w:tc>
          <w:tcPr>
            <w:tcW w:w="283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2B346555">
            <w:pPr>
              <w:spacing w:line="360" w:lineRule="auto"/>
              <w:ind w:firstLine="2160"/>
              <w:jc w:val="center"/>
              <w:rPr>
                <w:color w:val="auto"/>
                <w:highlight w:val="none"/>
              </w:rPr>
            </w:pPr>
          </w:p>
        </w:tc>
      </w:tr>
      <w:tr w14:paraId="2B91DA16">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34F934B1">
            <w:pPr>
              <w:spacing w:line="360" w:lineRule="auto"/>
              <w:jc w:val="center"/>
              <w:rPr>
                <w:color w:val="auto"/>
                <w:highlight w:val="none"/>
              </w:rPr>
            </w:pPr>
            <w:r>
              <w:rPr>
                <w:color w:val="auto"/>
                <w:highlight w:val="none"/>
              </w:rPr>
              <w:t>经营范围</w:t>
            </w:r>
          </w:p>
        </w:tc>
        <w:tc>
          <w:tcPr>
            <w:tcW w:w="6521" w:type="dxa"/>
            <w:gridSpan w:val="3"/>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576728B7">
            <w:pPr>
              <w:spacing w:line="360" w:lineRule="auto"/>
              <w:jc w:val="center"/>
              <w:rPr>
                <w:color w:val="auto"/>
                <w:highlight w:val="none"/>
              </w:rPr>
            </w:pPr>
          </w:p>
        </w:tc>
      </w:tr>
      <w:tr w14:paraId="3B4F373B">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15683D29">
            <w:pPr>
              <w:spacing w:line="360" w:lineRule="auto"/>
              <w:jc w:val="center"/>
              <w:rPr>
                <w:color w:val="auto"/>
                <w:highlight w:val="none"/>
              </w:rPr>
            </w:pPr>
            <w:r>
              <w:rPr>
                <w:color w:val="auto"/>
                <w:highlight w:val="none"/>
              </w:rPr>
              <w:t>实现利润</w:t>
            </w:r>
          </w:p>
        </w:tc>
        <w:tc>
          <w:tcPr>
            <w:tcW w:w="2268"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5AFF0617">
            <w:pPr>
              <w:spacing w:line="360" w:lineRule="auto"/>
              <w:jc w:val="center"/>
              <w:rPr>
                <w:color w:val="auto"/>
                <w:highlight w:val="none"/>
              </w:rPr>
            </w:pPr>
            <w:r>
              <w:rPr>
                <w:rFonts w:hint="eastAsia"/>
                <w:color w:val="auto"/>
                <w:highlight w:val="none"/>
              </w:rPr>
              <w:t>2024</w:t>
            </w:r>
            <w:r>
              <w:rPr>
                <w:color w:val="auto"/>
                <w:highlight w:val="none"/>
              </w:rPr>
              <w:t>年   万元</w:t>
            </w:r>
          </w:p>
        </w:tc>
        <w:tc>
          <w:tcPr>
            <w:tcW w:w="1418"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0499830A">
            <w:pPr>
              <w:spacing w:line="360" w:lineRule="auto"/>
              <w:jc w:val="center"/>
              <w:rPr>
                <w:color w:val="auto"/>
                <w:highlight w:val="none"/>
              </w:rPr>
            </w:pPr>
            <w:r>
              <w:rPr>
                <w:color w:val="auto"/>
                <w:highlight w:val="none"/>
              </w:rPr>
              <w:t>员工总人数</w:t>
            </w:r>
          </w:p>
        </w:tc>
        <w:tc>
          <w:tcPr>
            <w:tcW w:w="283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1044D294">
            <w:pPr>
              <w:spacing w:line="360" w:lineRule="auto"/>
              <w:jc w:val="center"/>
              <w:rPr>
                <w:color w:val="auto"/>
                <w:highlight w:val="none"/>
              </w:rPr>
            </w:pPr>
          </w:p>
        </w:tc>
      </w:tr>
      <w:tr w14:paraId="4B765682">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6906A680">
            <w:pPr>
              <w:spacing w:line="360" w:lineRule="auto"/>
              <w:jc w:val="center"/>
              <w:rPr>
                <w:color w:val="auto"/>
                <w:highlight w:val="none"/>
              </w:rPr>
            </w:pPr>
            <w:r>
              <w:rPr>
                <w:color w:val="auto"/>
                <w:highlight w:val="none"/>
              </w:rPr>
              <w:t>资产总计</w:t>
            </w:r>
          </w:p>
        </w:tc>
        <w:tc>
          <w:tcPr>
            <w:tcW w:w="2268"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3F2E750F">
            <w:pPr>
              <w:spacing w:line="360" w:lineRule="auto"/>
              <w:jc w:val="center"/>
              <w:rPr>
                <w:color w:val="auto"/>
                <w:highlight w:val="none"/>
              </w:rPr>
            </w:pPr>
            <w:r>
              <w:rPr>
                <w:color w:val="auto"/>
                <w:highlight w:val="none"/>
              </w:rPr>
              <w:t>万元</w:t>
            </w:r>
          </w:p>
        </w:tc>
        <w:tc>
          <w:tcPr>
            <w:tcW w:w="1418"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744DA440">
            <w:pPr>
              <w:spacing w:line="360" w:lineRule="auto"/>
              <w:jc w:val="center"/>
              <w:rPr>
                <w:color w:val="auto"/>
                <w:highlight w:val="none"/>
              </w:rPr>
            </w:pPr>
            <w:r>
              <w:rPr>
                <w:color w:val="auto"/>
                <w:highlight w:val="none"/>
              </w:rPr>
              <w:t>营业收入</w:t>
            </w:r>
          </w:p>
        </w:tc>
        <w:tc>
          <w:tcPr>
            <w:tcW w:w="283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61A3295A">
            <w:pPr>
              <w:spacing w:line="360" w:lineRule="auto"/>
              <w:ind w:firstLine="420"/>
              <w:rPr>
                <w:color w:val="auto"/>
                <w:highlight w:val="none"/>
              </w:rPr>
            </w:pPr>
            <w:r>
              <w:rPr>
                <w:rFonts w:hint="eastAsia"/>
                <w:color w:val="auto"/>
                <w:highlight w:val="none"/>
              </w:rPr>
              <w:t>2024</w:t>
            </w:r>
            <w:r>
              <w:rPr>
                <w:color w:val="auto"/>
                <w:highlight w:val="none"/>
              </w:rPr>
              <w:t>年   万元</w:t>
            </w:r>
          </w:p>
        </w:tc>
      </w:tr>
      <w:tr w14:paraId="4F3B3645">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15E199E3">
            <w:pPr>
              <w:spacing w:line="360" w:lineRule="auto"/>
              <w:jc w:val="center"/>
              <w:rPr>
                <w:color w:val="auto"/>
                <w:highlight w:val="none"/>
              </w:rPr>
            </w:pPr>
            <w:r>
              <w:rPr>
                <w:color w:val="auto"/>
                <w:highlight w:val="none"/>
              </w:rPr>
              <w:t>单位简历及内设机构情况</w:t>
            </w:r>
          </w:p>
        </w:tc>
        <w:tc>
          <w:tcPr>
            <w:tcW w:w="6521" w:type="dxa"/>
            <w:gridSpan w:val="3"/>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0AD95915">
            <w:pPr>
              <w:spacing w:line="360" w:lineRule="auto"/>
              <w:jc w:val="center"/>
              <w:rPr>
                <w:color w:val="auto"/>
                <w:highlight w:val="none"/>
              </w:rPr>
            </w:pPr>
          </w:p>
        </w:tc>
      </w:tr>
      <w:tr w14:paraId="4A19603B">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2D9DE563">
            <w:pPr>
              <w:spacing w:line="360" w:lineRule="auto"/>
              <w:jc w:val="center"/>
              <w:rPr>
                <w:color w:val="auto"/>
                <w:highlight w:val="none"/>
              </w:rPr>
            </w:pPr>
            <w:r>
              <w:rPr>
                <w:color w:val="auto"/>
                <w:highlight w:val="none"/>
              </w:rPr>
              <w:t>单位优势及特长</w:t>
            </w:r>
          </w:p>
        </w:tc>
        <w:tc>
          <w:tcPr>
            <w:tcW w:w="6521" w:type="dxa"/>
            <w:gridSpan w:val="3"/>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1D75C528">
            <w:pPr>
              <w:spacing w:line="360" w:lineRule="auto"/>
              <w:jc w:val="center"/>
              <w:rPr>
                <w:color w:val="auto"/>
                <w:highlight w:val="none"/>
              </w:rPr>
            </w:pPr>
          </w:p>
        </w:tc>
      </w:tr>
      <w:tr w14:paraId="5DED49B7">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4A8D82F6">
            <w:pPr>
              <w:spacing w:line="360" w:lineRule="auto"/>
              <w:jc w:val="center"/>
              <w:rPr>
                <w:color w:val="auto"/>
                <w:highlight w:val="none"/>
              </w:rPr>
            </w:pPr>
            <w:r>
              <w:rPr>
                <w:color w:val="auto"/>
                <w:highlight w:val="none"/>
              </w:rPr>
              <w:t>商业信誉和健全的财务会计制度介绍</w:t>
            </w:r>
          </w:p>
        </w:tc>
        <w:tc>
          <w:tcPr>
            <w:tcW w:w="6521" w:type="dxa"/>
            <w:gridSpan w:val="3"/>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31E5F4CE">
            <w:pPr>
              <w:spacing w:line="360" w:lineRule="auto"/>
              <w:jc w:val="center"/>
              <w:rPr>
                <w:color w:val="auto"/>
                <w:highlight w:val="none"/>
              </w:rPr>
            </w:pPr>
          </w:p>
        </w:tc>
      </w:tr>
      <w:tr w14:paraId="5862EFAE">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7331EB3C">
            <w:pPr>
              <w:spacing w:line="360" w:lineRule="auto"/>
              <w:jc w:val="center"/>
              <w:rPr>
                <w:color w:val="auto"/>
                <w:highlight w:val="none"/>
              </w:rPr>
            </w:pPr>
            <w:r>
              <w:rPr>
                <w:color w:val="auto"/>
                <w:highlight w:val="none"/>
              </w:rPr>
              <w:t>履行合同所必需的设备和专业技术能力情况</w:t>
            </w:r>
          </w:p>
        </w:tc>
        <w:tc>
          <w:tcPr>
            <w:tcW w:w="6521" w:type="dxa"/>
            <w:gridSpan w:val="3"/>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5D1A635E">
            <w:pPr>
              <w:spacing w:line="360" w:lineRule="auto"/>
              <w:jc w:val="center"/>
              <w:rPr>
                <w:color w:val="auto"/>
                <w:highlight w:val="none"/>
              </w:rPr>
            </w:pPr>
          </w:p>
        </w:tc>
      </w:tr>
      <w:tr w14:paraId="11ACBE11">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6691BA94">
            <w:pPr>
              <w:spacing w:line="360" w:lineRule="auto"/>
              <w:jc w:val="center"/>
              <w:rPr>
                <w:color w:val="auto"/>
                <w:highlight w:val="none"/>
              </w:rPr>
            </w:pPr>
            <w:r>
              <w:rPr>
                <w:color w:val="auto"/>
                <w:highlight w:val="none"/>
              </w:rPr>
              <w:t>依法缴纳税收和社会保障资金情况</w:t>
            </w:r>
          </w:p>
        </w:tc>
        <w:tc>
          <w:tcPr>
            <w:tcW w:w="6521" w:type="dxa"/>
            <w:gridSpan w:val="3"/>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7FAFADD5">
            <w:pPr>
              <w:spacing w:line="360" w:lineRule="auto"/>
              <w:jc w:val="center"/>
              <w:rPr>
                <w:color w:val="auto"/>
                <w:highlight w:val="none"/>
              </w:rPr>
            </w:pPr>
          </w:p>
        </w:tc>
      </w:tr>
      <w:tr w14:paraId="0C0138E0">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2B04450E">
            <w:pPr>
              <w:spacing w:line="360" w:lineRule="auto"/>
              <w:jc w:val="center"/>
              <w:rPr>
                <w:color w:val="auto"/>
                <w:highlight w:val="none"/>
              </w:rPr>
            </w:pPr>
            <w:r>
              <w:rPr>
                <w:color w:val="auto"/>
                <w:highlight w:val="none"/>
              </w:rPr>
              <w:t>参加政府采购活动前三年内，在经营活动中有无重大违法记录</w:t>
            </w:r>
          </w:p>
        </w:tc>
        <w:tc>
          <w:tcPr>
            <w:tcW w:w="6521" w:type="dxa"/>
            <w:gridSpan w:val="3"/>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5DD9EA5F">
            <w:pPr>
              <w:spacing w:line="360" w:lineRule="auto"/>
              <w:jc w:val="center"/>
              <w:rPr>
                <w:color w:val="auto"/>
                <w:highlight w:val="none"/>
              </w:rPr>
            </w:pPr>
          </w:p>
        </w:tc>
      </w:tr>
      <w:tr w14:paraId="4EC6FD5C">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25EF8E3E">
            <w:pPr>
              <w:spacing w:line="360" w:lineRule="auto"/>
              <w:jc w:val="center"/>
              <w:rPr>
                <w:color w:val="auto"/>
                <w:highlight w:val="none"/>
              </w:rPr>
            </w:pPr>
            <w:r>
              <w:rPr>
                <w:color w:val="auto"/>
                <w:highlight w:val="none"/>
              </w:rPr>
              <w:t>其他需要说明的情况</w:t>
            </w:r>
          </w:p>
        </w:tc>
        <w:tc>
          <w:tcPr>
            <w:tcW w:w="6521" w:type="dxa"/>
            <w:gridSpan w:val="3"/>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7230A215">
            <w:pPr>
              <w:spacing w:line="360" w:lineRule="auto"/>
              <w:jc w:val="center"/>
              <w:rPr>
                <w:color w:val="auto"/>
                <w:highlight w:val="none"/>
              </w:rPr>
            </w:pPr>
          </w:p>
        </w:tc>
      </w:tr>
    </w:tbl>
    <w:p w14:paraId="42F28478">
      <w:pPr>
        <w:spacing w:line="360" w:lineRule="auto"/>
        <w:ind w:firstLine="315"/>
        <w:jc w:val="left"/>
        <w:rPr>
          <w:b/>
          <w:color w:val="auto"/>
          <w:highlight w:val="none"/>
        </w:rPr>
      </w:pPr>
      <w:r>
        <w:rPr>
          <w:color w:val="auto"/>
          <w:highlight w:val="none"/>
        </w:rPr>
        <w:t>注：若事项较多，供应商可根据实际情况另纸说明。</w:t>
      </w:r>
    </w:p>
    <w:p w14:paraId="6CD0C576">
      <w:pPr>
        <w:pStyle w:val="21"/>
        <w:outlineLvl w:val="1"/>
        <w:rPr>
          <w:rFonts w:ascii="Times New Roman" w:hAnsi="Times New Roman"/>
          <w:b/>
          <w:bCs/>
          <w:color w:val="auto"/>
          <w:szCs w:val="21"/>
          <w:highlight w:val="none"/>
        </w:rPr>
      </w:pPr>
      <w:r>
        <w:rPr>
          <w:rFonts w:ascii="Times New Roman" w:hAnsi="Times New Roman"/>
          <w:b/>
          <w:bCs/>
          <w:color w:val="auto"/>
          <w:szCs w:val="21"/>
          <w:highlight w:val="none"/>
        </w:rPr>
        <w:br w:type="page" w:clear="all"/>
      </w:r>
      <w:r>
        <w:rPr>
          <w:rFonts w:hint="eastAsia" w:ascii="Times New Roman" w:hAnsi="Times New Roman"/>
          <w:b/>
          <w:bCs/>
          <w:color w:val="auto"/>
          <w:szCs w:val="21"/>
          <w:highlight w:val="none"/>
        </w:rPr>
        <w:t>格式10</w:t>
      </w:r>
      <w:r>
        <w:rPr>
          <w:rFonts w:ascii="Times New Roman" w:hAnsi="Times New Roman"/>
          <w:b/>
          <w:bCs/>
          <w:color w:val="auto"/>
          <w:szCs w:val="21"/>
          <w:highlight w:val="none"/>
        </w:rPr>
        <w:t>：资格证明文件</w:t>
      </w:r>
      <w:bookmarkEnd w:id="46"/>
      <w:bookmarkEnd w:id="47"/>
    </w:p>
    <w:p w14:paraId="20341FDA">
      <w:pPr>
        <w:spacing w:line="400" w:lineRule="exact"/>
        <w:ind w:firstLine="241"/>
        <w:jc w:val="center"/>
        <w:rPr>
          <w:b/>
          <w:color w:val="auto"/>
          <w:sz w:val="24"/>
          <w:highlight w:val="none"/>
        </w:rPr>
      </w:pPr>
      <w:r>
        <w:rPr>
          <w:b/>
          <w:color w:val="auto"/>
          <w:sz w:val="24"/>
          <w:highlight w:val="none"/>
        </w:rPr>
        <w:t>关于资格文件的声明函</w:t>
      </w:r>
    </w:p>
    <w:p w14:paraId="0AB6BBE6">
      <w:pPr>
        <w:spacing w:line="400" w:lineRule="exact"/>
        <w:jc w:val="left"/>
        <w:rPr>
          <w:color w:val="auto"/>
          <w:szCs w:val="21"/>
          <w:highlight w:val="none"/>
        </w:rPr>
      </w:pPr>
    </w:p>
    <w:p w14:paraId="1F5327E5">
      <w:pPr>
        <w:spacing w:line="480" w:lineRule="exact"/>
        <w:ind w:firstLine="420"/>
        <w:jc w:val="left"/>
        <w:rPr>
          <w:color w:val="auto"/>
          <w:szCs w:val="21"/>
          <w:highlight w:val="none"/>
        </w:rPr>
      </w:pPr>
      <w:r>
        <w:rPr>
          <w:color w:val="auto"/>
          <w:szCs w:val="21"/>
          <w:highlight w:val="none"/>
          <w:u w:val="single"/>
        </w:rPr>
        <w:t>苏州鼎力招投标咨询服务有限公司</w:t>
      </w:r>
      <w:r>
        <w:rPr>
          <w:color w:val="auto"/>
          <w:szCs w:val="21"/>
          <w:highlight w:val="none"/>
        </w:rPr>
        <w:t>：</w:t>
      </w:r>
    </w:p>
    <w:p w14:paraId="542E3EA7">
      <w:pPr>
        <w:pStyle w:val="12"/>
        <w:spacing w:line="400" w:lineRule="exact"/>
        <w:ind w:left="315" w:firstLine="630"/>
        <w:rPr>
          <w:rFonts w:eastAsia="宋体"/>
          <w:color w:val="auto"/>
          <w:sz w:val="21"/>
          <w:szCs w:val="21"/>
          <w:highlight w:val="none"/>
        </w:rPr>
      </w:pPr>
      <w:r>
        <w:rPr>
          <w:rFonts w:eastAsia="宋体"/>
          <w:color w:val="auto"/>
          <w:sz w:val="21"/>
          <w:szCs w:val="21"/>
          <w:highlight w:val="none"/>
        </w:rPr>
        <w:t>本公司愿就由贵方组织实施的编号为</w:t>
      </w:r>
      <w:r>
        <w:rPr>
          <w:rFonts w:eastAsia="宋体"/>
          <w:color w:val="auto"/>
          <w:sz w:val="21"/>
          <w:szCs w:val="21"/>
          <w:highlight w:val="none"/>
          <w:u w:val="single"/>
        </w:rPr>
        <w:t xml:space="preserve">                    </w:t>
      </w:r>
      <w:r>
        <w:rPr>
          <w:rFonts w:eastAsia="宋体"/>
          <w:color w:val="auto"/>
          <w:sz w:val="21"/>
          <w:szCs w:val="21"/>
          <w:highlight w:val="none"/>
        </w:rPr>
        <w:t>号的采购活动进行响应。本公司所提交的响应文件中所有关于响应文件、证明和陈述均是真实的、准确的、有效的。若与真实情况不符，本公司愿意承担由此而产生的一切后果。</w:t>
      </w:r>
    </w:p>
    <w:p w14:paraId="0D266AEE">
      <w:pPr>
        <w:spacing w:line="400" w:lineRule="exact"/>
        <w:ind w:firstLine="480"/>
        <w:jc w:val="left"/>
        <w:rPr>
          <w:color w:val="auto"/>
          <w:szCs w:val="21"/>
          <w:highlight w:val="none"/>
        </w:rPr>
      </w:pPr>
    </w:p>
    <w:p w14:paraId="15E0F345">
      <w:pPr>
        <w:spacing w:line="400" w:lineRule="exact"/>
        <w:ind w:firstLine="480"/>
        <w:jc w:val="left"/>
        <w:rPr>
          <w:color w:val="auto"/>
          <w:szCs w:val="21"/>
          <w:highlight w:val="none"/>
        </w:rPr>
      </w:pPr>
    </w:p>
    <w:p w14:paraId="71E16A7E">
      <w:pPr>
        <w:spacing w:line="400" w:lineRule="exact"/>
        <w:ind w:firstLine="480"/>
        <w:jc w:val="left"/>
        <w:rPr>
          <w:color w:val="auto"/>
          <w:szCs w:val="21"/>
          <w:highlight w:val="none"/>
        </w:rPr>
      </w:pPr>
    </w:p>
    <w:p w14:paraId="6FBF481A">
      <w:pPr>
        <w:spacing w:line="400" w:lineRule="exact"/>
        <w:ind w:firstLine="480"/>
        <w:jc w:val="left"/>
        <w:rPr>
          <w:color w:val="auto"/>
          <w:szCs w:val="21"/>
          <w:highlight w:val="none"/>
        </w:rPr>
      </w:pPr>
    </w:p>
    <w:p w14:paraId="183DEFAE">
      <w:pPr>
        <w:spacing w:line="400" w:lineRule="exact"/>
        <w:ind w:firstLine="3465"/>
        <w:jc w:val="left"/>
        <w:rPr>
          <w:color w:val="auto"/>
          <w:szCs w:val="21"/>
          <w:highlight w:val="none"/>
        </w:rPr>
      </w:pPr>
      <w:r>
        <w:rPr>
          <w:color w:val="auto"/>
          <w:szCs w:val="21"/>
          <w:highlight w:val="none"/>
        </w:rPr>
        <w:t>（响应单位）法定代表人（负责人）：（签字或盖章）</w:t>
      </w:r>
    </w:p>
    <w:p w14:paraId="1B209EC9">
      <w:pPr>
        <w:spacing w:line="400" w:lineRule="exact"/>
        <w:ind w:firstLine="2730"/>
        <w:jc w:val="left"/>
        <w:rPr>
          <w:color w:val="auto"/>
          <w:szCs w:val="21"/>
          <w:highlight w:val="none"/>
        </w:rPr>
      </w:pPr>
    </w:p>
    <w:p w14:paraId="4D783DD1">
      <w:pPr>
        <w:spacing w:line="400" w:lineRule="exact"/>
        <w:ind w:firstLine="3465"/>
        <w:jc w:val="left"/>
        <w:rPr>
          <w:color w:val="auto"/>
          <w:szCs w:val="21"/>
          <w:highlight w:val="none"/>
        </w:rPr>
      </w:pPr>
      <w:r>
        <w:rPr>
          <w:color w:val="auto"/>
          <w:szCs w:val="21"/>
          <w:highlight w:val="none"/>
        </w:rPr>
        <w:t>（响应单位）公章：</w:t>
      </w:r>
    </w:p>
    <w:p w14:paraId="18E848A1">
      <w:pPr>
        <w:spacing w:line="400" w:lineRule="exact"/>
        <w:ind w:firstLine="2730"/>
        <w:jc w:val="left"/>
        <w:rPr>
          <w:color w:val="auto"/>
          <w:szCs w:val="21"/>
          <w:highlight w:val="none"/>
        </w:rPr>
      </w:pPr>
    </w:p>
    <w:p w14:paraId="223709D4">
      <w:pPr>
        <w:spacing w:line="400" w:lineRule="exact"/>
        <w:jc w:val="left"/>
        <w:rPr>
          <w:color w:val="auto"/>
          <w:szCs w:val="21"/>
          <w:highlight w:val="none"/>
        </w:rPr>
      </w:pPr>
    </w:p>
    <w:p w14:paraId="3480CC7A">
      <w:pPr>
        <w:spacing w:line="400" w:lineRule="exact"/>
        <w:ind w:firstLine="5040"/>
        <w:jc w:val="left"/>
        <w:rPr>
          <w:color w:val="auto"/>
          <w:szCs w:val="21"/>
          <w:highlight w:val="none"/>
        </w:rPr>
      </w:pPr>
      <w:r>
        <w:rPr>
          <w:color w:val="auto"/>
          <w:szCs w:val="21"/>
          <w:highlight w:val="none"/>
        </w:rPr>
        <w:t>年  月  日</w:t>
      </w:r>
    </w:p>
    <w:p w14:paraId="4C314294">
      <w:pPr>
        <w:spacing w:line="400" w:lineRule="exact"/>
        <w:ind w:firstLine="480"/>
        <w:jc w:val="left"/>
        <w:rPr>
          <w:color w:val="auto"/>
          <w:szCs w:val="21"/>
          <w:highlight w:val="none"/>
        </w:rPr>
      </w:pPr>
    </w:p>
    <w:p w14:paraId="18D414F0">
      <w:pPr>
        <w:spacing w:line="400" w:lineRule="exact"/>
        <w:ind w:firstLine="480"/>
        <w:jc w:val="left"/>
        <w:rPr>
          <w:color w:val="auto"/>
          <w:szCs w:val="21"/>
          <w:highlight w:val="none"/>
        </w:rPr>
      </w:pPr>
    </w:p>
    <w:p w14:paraId="1B34079E">
      <w:pPr>
        <w:spacing w:line="400" w:lineRule="exact"/>
        <w:ind w:firstLine="480"/>
        <w:jc w:val="left"/>
        <w:rPr>
          <w:color w:val="auto"/>
          <w:szCs w:val="21"/>
          <w:highlight w:val="none"/>
        </w:rPr>
      </w:pPr>
    </w:p>
    <w:p w14:paraId="3614F65D">
      <w:pPr>
        <w:pStyle w:val="202"/>
        <w:rPr>
          <w:color w:val="auto"/>
          <w:highlight w:val="none"/>
          <w:lang w:val="en-US"/>
        </w:rPr>
      </w:pPr>
    </w:p>
    <w:p w14:paraId="5D3C2FF1">
      <w:pPr>
        <w:pStyle w:val="202"/>
        <w:rPr>
          <w:color w:val="auto"/>
          <w:highlight w:val="none"/>
          <w:lang w:val="en-US"/>
        </w:rPr>
      </w:pPr>
    </w:p>
    <w:p w14:paraId="69080871">
      <w:pPr>
        <w:pStyle w:val="202"/>
        <w:rPr>
          <w:color w:val="auto"/>
          <w:highlight w:val="none"/>
          <w:lang w:val="en-US"/>
        </w:rPr>
      </w:pPr>
    </w:p>
    <w:p w14:paraId="7438B35C">
      <w:pPr>
        <w:pStyle w:val="202"/>
        <w:rPr>
          <w:color w:val="auto"/>
          <w:highlight w:val="none"/>
          <w:lang w:val="en-US"/>
        </w:rPr>
      </w:pPr>
    </w:p>
    <w:p w14:paraId="3E45C83C">
      <w:pPr>
        <w:pStyle w:val="202"/>
        <w:rPr>
          <w:color w:val="auto"/>
          <w:highlight w:val="none"/>
          <w:lang w:val="en-US"/>
        </w:rPr>
      </w:pPr>
    </w:p>
    <w:p w14:paraId="161F6A5C">
      <w:pPr>
        <w:pStyle w:val="202"/>
        <w:rPr>
          <w:color w:val="auto"/>
          <w:highlight w:val="none"/>
          <w:lang w:val="en-US"/>
        </w:rPr>
      </w:pPr>
    </w:p>
    <w:p w14:paraId="4E40069D">
      <w:pPr>
        <w:pStyle w:val="202"/>
        <w:rPr>
          <w:color w:val="auto"/>
          <w:highlight w:val="none"/>
          <w:lang w:val="en-US"/>
        </w:rPr>
      </w:pPr>
    </w:p>
    <w:p w14:paraId="094AA1E9">
      <w:pPr>
        <w:pStyle w:val="202"/>
        <w:rPr>
          <w:color w:val="auto"/>
          <w:highlight w:val="none"/>
          <w:lang w:val="en-US"/>
        </w:rPr>
      </w:pPr>
    </w:p>
    <w:p w14:paraId="0F321834">
      <w:pPr>
        <w:pStyle w:val="202"/>
        <w:rPr>
          <w:color w:val="auto"/>
          <w:highlight w:val="none"/>
          <w:lang w:val="en-US"/>
        </w:rPr>
      </w:pPr>
    </w:p>
    <w:p w14:paraId="0FD72AFB">
      <w:pPr>
        <w:pStyle w:val="202"/>
        <w:rPr>
          <w:color w:val="auto"/>
          <w:highlight w:val="none"/>
          <w:lang w:val="en-US"/>
        </w:rPr>
      </w:pPr>
    </w:p>
    <w:p w14:paraId="4C98997A">
      <w:pPr>
        <w:pStyle w:val="202"/>
        <w:rPr>
          <w:color w:val="auto"/>
          <w:highlight w:val="none"/>
          <w:lang w:val="en-US"/>
        </w:rPr>
      </w:pPr>
    </w:p>
    <w:p w14:paraId="1544C34D">
      <w:pPr>
        <w:pStyle w:val="202"/>
        <w:rPr>
          <w:color w:val="auto"/>
          <w:highlight w:val="none"/>
          <w:lang w:val="en-US"/>
        </w:rPr>
      </w:pPr>
    </w:p>
    <w:p w14:paraId="0A051C9F">
      <w:pPr>
        <w:pStyle w:val="202"/>
        <w:rPr>
          <w:color w:val="auto"/>
          <w:highlight w:val="none"/>
          <w:lang w:val="en-US"/>
        </w:rPr>
      </w:pPr>
    </w:p>
    <w:p w14:paraId="0127A35B">
      <w:pPr>
        <w:pStyle w:val="202"/>
        <w:rPr>
          <w:color w:val="auto"/>
          <w:highlight w:val="none"/>
          <w:lang w:val="en-US"/>
        </w:rPr>
      </w:pPr>
    </w:p>
    <w:p w14:paraId="68B2983F">
      <w:pPr>
        <w:pStyle w:val="202"/>
        <w:rPr>
          <w:color w:val="auto"/>
          <w:highlight w:val="none"/>
          <w:lang w:val="en-US"/>
        </w:rPr>
      </w:pPr>
    </w:p>
    <w:p w14:paraId="26879FF3">
      <w:pPr>
        <w:pStyle w:val="202"/>
        <w:rPr>
          <w:color w:val="auto"/>
          <w:highlight w:val="none"/>
          <w:lang w:val="en-US"/>
        </w:rPr>
      </w:pPr>
    </w:p>
    <w:p w14:paraId="3C100445">
      <w:pPr>
        <w:pStyle w:val="202"/>
        <w:rPr>
          <w:color w:val="auto"/>
          <w:highlight w:val="none"/>
          <w:lang w:val="en-US"/>
        </w:rPr>
      </w:pPr>
    </w:p>
    <w:p w14:paraId="4D80A07C">
      <w:pPr>
        <w:pStyle w:val="202"/>
        <w:rPr>
          <w:color w:val="auto"/>
          <w:highlight w:val="none"/>
          <w:lang w:val="en-US"/>
        </w:rPr>
      </w:pPr>
    </w:p>
    <w:p w14:paraId="5A999195">
      <w:pPr>
        <w:pStyle w:val="202"/>
        <w:rPr>
          <w:color w:val="auto"/>
          <w:highlight w:val="none"/>
          <w:lang w:val="en-US"/>
        </w:rPr>
      </w:pPr>
    </w:p>
    <w:p w14:paraId="5072E77B">
      <w:pPr>
        <w:pStyle w:val="12"/>
        <w:ind w:firstLine="0"/>
        <w:outlineLvl w:val="1"/>
        <w:rPr>
          <w:rFonts w:eastAsia="宋体"/>
          <w:b/>
          <w:bCs/>
          <w:color w:val="auto"/>
          <w:sz w:val="21"/>
          <w:szCs w:val="21"/>
          <w:highlight w:val="none"/>
        </w:rPr>
      </w:pPr>
      <w:r>
        <w:rPr>
          <w:rFonts w:eastAsia="宋体"/>
          <w:color w:val="auto"/>
          <w:sz w:val="21"/>
          <w:szCs w:val="21"/>
          <w:highlight w:val="none"/>
        </w:rPr>
        <w:br w:type="page" w:clear="all"/>
      </w:r>
      <w:bookmarkStart w:id="48" w:name="_Toc30434"/>
      <w:bookmarkStart w:id="49" w:name="_Toc6455"/>
      <w:r>
        <w:rPr>
          <w:rFonts w:hint="eastAsia" w:eastAsia="宋体"/>
          <w:b/>
          <w:bCs/>
          <w:color w:val="auto"/>
          <w:sz w:val="21"/>
          <w:szCs w:val="21"/>
          <w:highlight w:val="none"/>
        </w:rPr>
        <w:t>格式</w:t>
      </w:r>
      <w:r>
        <w:rPr>
          <w:rFonts w:eastAsia="宋体"/>
          <w:b/>
          <w:bCs/>
          <w:color w:val="auto"/>
          <w:sz w:val="21"/>
          <w:szCs w:val="21"/>
          <w:highlight w:val="none"/>
        </w:rPr>
        <w:t>1</w:t>
      </w:r>
      <w:r>
        <w:rPr>
          <w:rFonts w:hint="eastAsia" w:eastAsia="宋体"/>
          <w:b/>
          <w:bCs/>
          <w:color w:val="auto"/>
          <w:sz w:val="21"/>
          <w:szCs w:val="21"/>
          <w:highlight w:val="none"/>
        </w:rPr>
        <w:t>1</w:t>
      </w:r>
      <w:r>
        <w:rPr>
          <w:rFonts w:eastAsia="宋体"/>
          <w:b/>
          <w:bCs/>
          <w:color w:val="auto"/>
          <w:sz w:val="21"/>
          <w:szCs w:val="21"/>
          <w:highlight w:val="none"/>
        </w:rPr>
        <w:t>：中小企业声明函</w:t>
      </w:r>
      <w:bookmarkEnd w:id="48"/>
      <w:bookmarkEnd w:id="49"/>
    </w:p>
    <w:p w14:paraId="6327382B">
      <w:pPr>
        <w:spacing w:line="480" w:lineRule="exact"/>
        <w:jc w:val="left"/>
        <w:rPr>
          <w:b/>
          <w:color w:val="auto"/>
          <w:szCs w:val="21"/>
          <w:highlight w:val="none"/>
        </w:rPr>
      </w:pPr>
      <w:bookmarkStart w:id="50" w:name="_Toc10206"/>
      <w:bookmarkStart w:id="51" w:name="_Toc20504"/>
    </w:p>
    <w:p w14:paraId="72A2A555">
      <w:pPr>
        <w:spacing w:line="480" w:lineRule="exact"/>
        <w:jc w:val="center"/>
        <w:rPr>
          <w:b/>
          <w:color w:val="auto"/>
          <w:szCs w:val="21"/>
          <w:highlight w:val="none"/>
        </w:rPr>
      </w:pPr>
      <w:r>
        <w:rPr>
          <w:b/>
          <w:color w:val="auto"/>
          <w:szCs w:val="21"/>
          <w:highlight w:val="none"/>
        </w:rPr>
        <w:t>中小企业声明函（服务）</w:t>
      </w:r>
    </w:p>
    <w:p w14:paraId="64AD944E">
      <w:pPr>
        <w:spacing w:line="480" w:lineRule="exact"/>
        <w:jc w:val="left"/>
        <w:rPr>
          <w:color w:val="auto"/>
          <w:szCs w:val="21"/>
          <w:highlight w:val="none"/>
        </w:rPr>
      </w:pPr>
      <w:r>
        <w:rPr>
          <w:rFonts w:hint="eastAsia"/>
          <w:color w:val="auto"/>
          <w:szCs w:val="21"/>
          <w:highlight w:val="none"/>
          <w:u w:val="single"/>
        </w:rPr>
        <w:t>苏州鼎力招投标咨询服务有限公司</w:t>
      </w:r>
      <w:r>
        <w:rPr>
          <w:color w:val="auto"/>
          <w:szCs w:val="21"/>
          <w:highlight w:val="none"/>
          <w:u w:val="single"/>
        </w:rPr>
        <w:t>：</w:t>
      </w:r>
    </w:p>
    <w:p w14:paraId="721F59DC">
      <w:pPr>
        <w:spacing w:line="480" w:lineRule="exact"/>
        <w:ind w:firstLine="420"/>
        <w:rPr>
          <w:color w:val="auto"/>
          <w:szCs w:val="21"/>
          <w:highlight w:val="none"/>
          <w:u w:val="single"/>
        </w:rPr>
      </w:pPr>
      <w:r>
        <w:rPr>
          <w:color w:val="auto"/>
          <w:szCs w:val="21"/>
          <w:highlight w:val="none"/>
        </w:rPr>
        <w:t>本公司（联合体）郑重声明，根据《政府采购促进中小企业发展管理办法》（财库[2020]46号）的规定，本公司（联合体）参加</w:t>
      </w:r>
      <w:r>
        <w:rPr>
          <w:color w:val="auto"/>
          <w:szCs w:val="21"/>
          <w:highlight w:val="none"/>
          <w:u w:val="single"/>
        </w:rPr>
        <w:t>（单位名称）</w:t>
      </w:r>
      <w:r>
        <w:rPr>
          <w:color w:val="auto"/>
          <w:szCs w:val="21"/>
          <w:highlight w:val="none"/>
        </w:rPr>
        <w:t>的</w:t>
      </w:r>
      <w:r>
        <w:rPr>
          <w:color w:val="auto"/>
          <w:szCs w:val="21"/>
          <w:highlight w:val="none"/>
          <w:u w:val="single"/>
        </w:rPr>
        <w:t>（项目名称）</w:t>
      </w:r>
      <w:r>
        <w:rPr>
          <w:color w:val="auto"/>
          <w:szCs w:val="21"/>
          <w:highlight w:val="none"/>
        </w:rPr>
        <w:t>采购活动，服务全部由符合政策要求的中小企业承接。相关企业（含联合体中的中小企业、签订分包意向协议的中小企业）的具体情况如下：</w:t>
      </w:r>
    </w:p>
    <w:p w14:paraId="37C751D8">
      <w:pPr>
        <w:spacing w:line="480" w:lineRule="exact"/>
        <w:ind w:firstLine="420"/>
        <w:rPr>
          <w:color w:val="auto"/>
          <w:szCs w:val="21"/>
          <w:highlight w:val="none"/>
        </w:rPr>
      </w:pPr>
      <w:r>
        <w:rPr>
          <w:color w:val="auto"/>
          <w:szCs w:val="21"/>
          <w:highlight w:val="none"/>
        </w:rPr>
        <w:t>1、</w:t>
      </w:r>
      <w:r>
        <w:rPr>
          <w:color w:val="auto"/>
          <w:szCs w:val="21"/>
          <w:highlight w:val="none"/>
          <w:u w:val="single"/>
        </w:rPr>
        <w:t>（项目名称）</w:t>
      </w:r>
      <w:r>
        <w:rPr>
          <w:color w:val="auto"/>
          <w:szCs w:val="21"/>
          <w:highlight w:val="none"/>
        </w:rPr>
        <w:t>，属于</w:t>
      </w:r>
      <w:r>
        <w:rPr>
          <w:rFonts w:hint="eastAsia"/>
          <w:color w:val="auto"/>
          <w:szCs w:val="21"/>
          <w:highlight w:val="none"/>
          <w:u w:val="single"/>
        </w:rPr>
        <w:t>租赁和商务服务业</w:t>
      </w:r>
      <w:r>
        <w:rPr>
          <w:color w:val="auto"/>
          <w:szCs w:val="21"/>
          <w:highlight w:val="none"/>
        </w:rPr>
        <w:t>；承接企业为</w:t>
      </w:r>
      <w:r>
        <w:rPr>
          <w:color w:val="auto"/>
          <w:szCs w:val="21"/>
          <w:highlight w:val="none"/>
          <w:u w:val="single"/>
        </w:rPr>
        <w:t>（企业名称）</w:t>
      </w:r>
      <w:r>
        <w:rPr>
          <w:color w:val="auto"/>
          <w:szCs w:val="21"/>
          <w:highlight w:val="none"/>
        </w:rPr>
        <w:t>，从业人员</w:t>
      </w:r>
      <w:r>
        <w:rPr>
          <w:color w:val="auto"/>
          <w:szCs w:val="21"/>
          <w:highlight w:val="none"/>
          <w:u w:val="single"/>
        </w:rPr>
        <w:t xml:space="preserve">     </w:t>
      </w:r>
      <w:r>
        <w:rPr>
          <w:color w:val="auto"/>
          <w:szCs w:val="21"/>
          <w:highlight w:val="none"/>
        </w:rPr>
        <w:t>人，营业收入为</w:t>
      </w:r>
      <w:r>
        <w:rPr>
          <w:color w:val="auto"/>
          <w:szCs w:val="21"/>
          <w:highlight w:val="none"/>
          <w:u w:val="single"/>
        </w:rPr>
        <w:t xml:space="preserve">      </w:t>
      </w:r>
      <w:r>
        <w:rPr>
          <w:color w:val="auto"/>
          <w:szCs w:val="21"/>
          <w:highlight w:val="none"/>
        </w:rPr>
        <w:t>万元，资产总额为</w:t>
      </w:r>
      <w:r>
        <w:rPr>
          <w:color w:val="auto"/>
          <w:szCs w:val="21"/>
          <w:highlight w:val="none"/>
          <w:u w:val="single"/>
        </w:rPr>
        <w:t xml:space="preserve">      </w:t>
      </w:r>
      <w:r>
        <w:rPr>
          <w:color w:val="auto"/>
          <w:szCs w:val="21"/>
          <w:highlight w:val="none"/>
        </w:rPr>
        <w:t>万元</w:t>
      </w:r>
      <w:r>
        <w:rPr>
          <w:rStyle w:val="52"/>
          <w:color w:val="auto"/>
          <w:szCs w:val="21"/>
          <w:highlight w:val="none"/>
        </w:rPr>
        <w:footnoteReference w:id="0"/>
      </w:r>
      <w:r>
        <w:rPr>
          <w:color w:val="auto"/>
          <w:szCs w:val="21"/>
          <w:highlight w:val="none"/>
        </w:rPr>
        <w:t>，属于</w:t>
      </w:r>
      <w:r>
        <w:rPr>
          <w:color w:val="auto"/>
          <w:szCs w:val="21"/>
          <w:highlight w:val="none"/>
          <w:u w:val="single"/>
        </w:rPr>
        <w:t>（□中型企业、□小型企业、□微型企业）</w:t>
      </w:r>
      <w:r>
        <w:rPr>
          <w:color w:val="auto"/>
          <w:szCs w:val="21"/>
          <w:highlight w:val="none"/>
        </w:rPr>
        <w:t>；</w:t>
      </w:r>
    </w:p>
    <w:p w14:paraId="749BAE4C">
      <w:pPr>
        <w:spacing w:line="480" w:lineRule="exact"/>
        <w:ind w:firstLine="420"/>
        <w:rPr>
          <w:color w:val="auto"/>
          <w:szCs w:val="21"/>
          <w:highlight w:val="none"/>
        </w:rPr>
      </w:pPr>
      <w:r>
        <w:rPr>
          <w:color w:val="auto"/>
          <w:szCs w:val="21"/>
          <w:highlight w:val="none"/>
        </w:rPr>
        <w:t>2、</w:t>
      </w:r>
      <w:r>
        <w:rPr>
          <w:color w:val="auto"/>
          <w:szCs w:val="21"/>
          <w:highlight w:val="none"/>
          <w:u w:val="single"/>
          <w:lang w:val="zh-CN"/>
        </w:rPr>
        <w:t>（</w:t>
      </w:r>
      <w:r>
        <w:rPr>
          <w:color w:val="auto"/>
          <w:szCs w:val="21"/>
          <w:highlight w:val="none"/>
          <w:u w:val="single"/>
        </w:rPr>
        <w:t>项目</w:t>
      </w:r>
      <w:r>
        <w:rPr>
          <w:color w:val="auto"/>
          <w:szCs w:val="21"/>
          <w:highlight w:val="none"/>
          <w:u w:val="single"/>
          <w:lang w:val="zh-CN"/>
        </w:rPr>
        <w:t>名称）</w:t>
      </w:r>
      <w:r>
        <w:rPr>
          <w:color w:val="auto"/>
          <w:szCs w:val="21"/>
          <w:highlight w:val="none"/>
          <w:lang w:val="zh-CN"/>
        </w:rPr>
        <w:t>，属于</w:t>
      </w:r>
      <w:r>
        <w:rPr>
          <w:rFonts w:hint="eastAsia"/>
          <w:color w:val="auto"/>
          <w:szCs w:val="21"/>
          <w:highlight w:val="none"/>
          <w:u w:val="single"/>
        </w:rPr>
        <w:t>租赁和商务服务业</w:t>
      </w:r>
      <w:r>
        <w:rPr>
          <w:color w:val="auto"/>
          <w:szCs w:val="21"/>
          <w:highlight w:val="none"/>
          <w:lang w:val="zh-CN"/>
        </w:rPr>
        <w:t>；承接企业为</w:t>
      </w:r>
      <w:r>
        <w:rPr>
          <w:color w:val="auto"/>
          <w:szCs w:val="21"/>
          <w:highlight w:val="none"/>
          <w:u w:val="single"/>
          <w:lang w:val="zh-CN"/>
        </w:rPr>
        <w:t>（企业名称）</w:t>
      </w:r>
      <w:r>
        <w:rPr>
          <w:color w:val="auto"/>
          <w:szCs w:val="21"/>
          <w:highlight w:val="none"/>
          <w:lang w:val="zh-CN"/>
        </w:rPr>
        <w:t>，</w:t>
      </w:r>
      <w:r>
        <w:rPr>
          <w:color w:val="auto"/>
          <w:szCs w:val="21"/>
          <w:highlight w:val="none"/>
        </w:rPr>
        <w:t>从业人员</w:t>
      </w:r>
      <w:r>
        <w:rPr>
          <w:color w:val="auto"/>
          <w:szCs w:val="21"/>
          <w:highlight w:val="none"/>
          <w:u w:val="single"/>
        </w:rPr>
        <w:t xml:space="preserve">     </w:t>
      </w:r>
      <w:r>
        <w:rPr>
          <w:color w:val="auto"/>
          <w:szCs w:val="21"/>
          <w:highlight w:val="none"/>
        </w:rPr>
        <w:t>人，营业收入为</w:t>
      </w:r>
      <w:r>
        <w:rPr>
          <w:color w:val="auto"/>
          <w:szCs w:val="21"/>
          <w:highlight w:val="none"/>
          <w:u w:val="single"/>
        </w:rPr>
        <w:t xml:space="preserve">      </w:t>
      </w:r>
      <w:r>
        <w:rPr>
          <w:color w:val="auto"/>
          <w:szCs w:val="21"/>
          <w:highlight w:val="none"/>
        </w:rPr>
        <w:t>万元，资产总额为</w:t>
      </w:r>
      <w:r>
        <w:rPr>
          <w:color w:val="auto"/>
          <w:szCs w:val="21"/>
          <w:highlight w:val="none"/>
          <w:u w:val="single"/>
        </w:rPr>
        <w:t xml:space="preserve">      </w:t>
      </w:r>
      <w:r>
        <w:rPr>
          <w:color w:val="auto"/>
          <w:szCs w:val="21"/>
          <w:highlight w:val="none"/>
        </w:rPr>
        <w:t>万元，属于</w:t>
      </w:r>
      <w:r>
        <w:rPr>
          <w:color w:val="auto"/>
          <w:szCs w:val="21"/>
          <w:highlight w:val="none"/>
          <w:u w:val="single"/>
        </w:rPr>
        <w:t>（□中型企业、□小型企业、□微型企业）</w:t>
      </w:r>
      <w:r>
        <w:rPr>
          <w:color w:val="auto"/>
          <w:szCs w:val="21"/>
          <w:highlight w:val="none"/>
        </w:rPr>
        <w:t>；</w:t>
      </w:r>
    </w:p>
    <w:p w14:paraId="137A89DB">
      <w:pPr>
        <w:spacing w:line="480" w:lineRule="exact"/>
        <w:ind w:firstLine="420"/>
        <w:rPr>
          <w:color w:val="auto"/>
          <w:szCs w:val="21"/>
          <w:highlight w:val="none"/>
        </w:rPr>
      </w:pPr>
      <w:r>
        <w:rPr>
          <w:color w:val="auto"/>
          <w:szCs w:val="21"/>
          <w:highlight w:val="none"/>
        </w:rPr>
        <w:t>……</w:t>
      </w:r>
    </w:p>
    <w:p w14:paraId="5F074DEE">
      <w:pPr>
        <w:spacing w:line="480" w:lineRule="exact"/>
        <w:ind w:firstLine="420"/>
        <w:rPr>
          <w:color w:val="auto"/>
          <w:szCs w:val="21"/>
          <w:highlight w:val="none"/>
        </w:rPr>
      </w:pPr>
      <w:r>
        <w:rPr>
          <w:color w:val="auto"/>
          <w:szCs w:val="21"/>
          <w:highlight w:val="none"/>
        </w:rPr>
        <w:t>以上企业，不属于大企业的分支机构，不存在控股股东为大企业的情形，也不存在与大企业的负责人为同一人的情形。</w:t>
      </w:r>
    </w:p>
    <w:p w14:paraId="36458638">
      <w:pPr>
        <w:spacing w:line="480" w:lineRule="exact"/>
        <w:ind w:firstLine="420"/>
        <w:rPr>
          <w:color w:val="auto"/>
          <w:szCs w:val="21"/>
          <w:highlight w:val="none"/>
        </w:rPr>
      </w:pPr>
      <w:r>
        <w:rPr>
          <w:color w:val="auto"/>
          <w:szCs w:val="21"/>
          <w:highlight w:val="none"/>
        </w:rPr>
        <w:t>本企业对上述声明内容的真实性负责。如有虚假，将依法承担相应责任。</w:t>
      </w:r>
    </w:p>
    <w:p w14:paraId="243AD542">
      <w:pPr>
        <w:spacing w:line="480" w:lineRule="exact"/>
        <w:jc w:val="left"/>
        <w:rPr>
          <w:color w:val="auto"/>
          <w:szCs w:val="21"/>
          <w:highlight w:val="none"/>
        </w:rPr>
      </w:pPr>
    </w:p>
    <w:p w14:paraId="00140053">
      <w:pPr>
        <w:spacing w:line="360" w:lineRule="auto"/>
        <w:ind w:right="-200"/>
        <w:jc w:val="center"/>
        <w:rPr>
          <w:color w:val="auto"/>
          <w:szCs w:val="21"/>
          <w:highlight w:val="none"/>
          <w:lang w:val="zh-CN"/>
        </w:rPr>
      </w:pPr>
      <w:r>
        <w:rPr>
          <w:color w:val="auto"/>
          <w:szCs w:val="21"/>
          <w:highlight w:val="none"/>
        </w:rPr>
        <w:t xml:space="preserve">                            供应商名称：（公章）</w:t>
      </w:r>
      <w:r>
        <w:rPr>
          <w:color w:val="auto"/>
          <w:szCs w:val="21"/>
          <w:highlight w:val="none"/>
          <w:lang w:val="zh-CN"/>
        </w:rPr>
        <w:t> </w:t>
      </w:r>
    </w:p>
    <w:p w14:paraId="1A5D1E3C">
      <w:pPr>
        <w:spacing w:line="400" w:lineRule="exact"/>
        <w:ind w:right="615" w:firstLine="840"/>
        <w:jc w:val="right"/>
        <w:rPr>
          <w:color w:val="auto"/>
          <w:szCs w:val="21"/>
          <w:highlight w:val="none"/>
          <w:lang w:val="zh-CN"/>
        </w:rPr>
      </w:pPr>
      <w:r>
        <w:rPr>
          <w:color w:val="auto"/>
          <w:szCs w:val="21"/>
          <w:highlight w:val="none"/>
          <w:lang w:val="zh-CN"/>
        </w:rPr>
        <w:t xml:space="preserve"> 日    期：     年</w:t>
      </w:r>
      <w:r>
        <w:rPr>
          <w:color w:val="auto"/>
          <w:szCs w:val="21"/>
          <w:highlight w:val="none"/>
        </w:rPr>
        <w:t xml:space="preserve">     </w:t>
      </w:r>
      <w:r>
        <w:rPr>
          <w:color w:val="auto"/>
          <w:szCs w:val="21"/>
          <w:highlight w:val="none"/>
          <w:lang w:val="zh-CN"/>
        </w:rPr>
        <w:t xml:space="preserve">月   </w:t>
      </w:r>
      <w:r>
        <w:rPr>
          <w:color w:val="auto"/>
          <w:szCs w:val="21"/>
          <w:highlight w:val="none"/>
        </w:rPr>
        <w:t xml:space="preserve"> </w:t>
      </w:r>
      <w:r>
        <w:rPr>
          <w:color w:val="auto"/>
          <w:szCs w:val="21"/>
          <w:highlight w:val="none"/>
          <w:lang w:val="zh-CN"/>
        </w:rPr>
        <w:t>日</w:t>
      </w:r>
    </w:p>
    <w:p w14:paraId="015DB27A">
      <w:pPr>
        <w:spacing w:line="280" w:lineRule="exact"/>
        <w:rPr>
          <w:b/>
          <w:color w:val="auto"/>
          <w:highlight w:val="none"/>
        </w:rPr>
      </w:pPr>
      <w:r>
        <w:rPr>
          <w:b/>
          <w:bCs/>
          <w:color w:val="auto"/>
          <w:szCs w:val="21"/>
          <w:highlight w:val="none"/>
        </w:rPr>
        <w:br w:type="page" w:clear="all"/>
      </w:r>
      <w:r>
        <w:rPr>
          <w:b/>
          <w:color w:val="auto"/>
          <w:highlight w:val="none"/>
        </w:rPr>
        <w:t>附：中小企业划型标准规定</w:t>
      </w:r>
    </w:p>
    <w:p w14:paraId="0294A8D1">
      <w:pPr>
        <w:spacing w:line="280" w:lineRule="exact"/>
        <w:ind w:firstLine="402"/>
        <w:rPr>
          <w:color w:val="auto"/>
          <w:highlight w:val="none"/>
        </w:rPr>
      </w:pPr>
      <w:r>
        <w:rPr>
          <w:b/>
          <w:color w:val="auto"/>
          <w:highlight w:val="none"/>
        </w:rPr>
        <w:t>（一）农、林、牧、渔业。</w:t>
      </w:r>
      <w:r>
        <w:rPr>
          <w:color w:val="auto"/>
          <w:highlight w:val="none"/>
        </w:rPr>
        <w:t>营业收入20000万元以下的为中小微型企业。其中，营业收入500万元及以上的为中型企业，营业收入50万元及以上的为小型企业，营业收入50万元以下的为微型企业。</w:t>
      </w:r>
    </w:p>
    <w:p w14:paraId="1C1D0794">
      <w:pPr>
        <w:spacing w:line="280" w:lineRule="exact"/>
        <w:ind w:firstLine="402"/>
        <w:rPr>
          <w:color w:val="auto"/>
          <w:highlight w:val="none"/>
        </w:rPr>
      </w:pPr>
      <w:r>
        <w:rPr>
          <w:b/>
          <w:color w:val="auto"/>
          <w:highlight w:val="none"/>
        </w:rPr>
        <w:t>（二）工业。</w:t>
      </w:r>
      <w:r>
        <w:rPr>
          <w:color w:val="auto"/>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0B887A5">
      <w:pPr>
        <w:spacing w:line="280" w:lineRule="exact"/>
        <w:ind w:firstLine="402"/>
        <w:rPr>
          <w:color w:val="auto"/>
          <w:highlight w:val="none"/>
        </w:rPr>
      </w:pPr>
      <w:r>
        <w:rPr>
          <w:b/>
          <w:color w:val="auto"/>
          <w:highlight w:val="none"/>
        </w:rPr>
        <w:t>（三）建筑业。</w:t>
      </w:r>
      <w:r>
        <w:rPr>
          <w:color w:val="auto"/>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23899E9">
      <w:pPr>
        <w:spacing w:line="280" w:lineRule="exact"/>
        <w:ind w:firstLine="402"/>
        <w:rPr>
          <w:color w:val="auto"/>
          <w:highlight w:val="none"/>
        </w:rPr>
      </w:pPr>
      <w:r>
        <w:rPr>
          <w:b/>
          <w:color w:val="auto"/>
          <w:highlight w:val="none"/>
        </w:rPr>
        <w:t>（四）批发业。</w:t>
      </w:r>
      <w:r>
        <w:rPr>
          <w:color w:val="auto"/>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307558BC">
      <w:pPr>
        <w:spacing w:line="280" w:lineRule="exact"/>
        <w:ind w:firstLine="402"/>
        <w:rPr>
          <w:color w:val="auto"/>
          <w:highlight w:val="none"/>
        </w:rPr>
      </w:pPr>
      <w:r>
        <w:rPr>
          <w:b/>
          <w:color w:val="auto"/>
          <w:highlight w:val="none"/>
        </w:rPr>
        <w:t>（五）零售业。</w:t>
      </w:r>
      <w:r>
        <w:rPr>
          <w:color w:val="auto"/>
          <w:highlight w:val="none"/>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0D9FD04">
      <w:pPr>
        <w:spacing w:line="280" w:lineRule="exact"/>
        <w:ind w:firstLine="402"/>
        <w:rPr>
          <w:color w:val="auto"/>
          <w:highlight w:val="none"/>
        </w:rPr>
      </w:pPr>
      <w:r>
        <w:rPr>
          <w:b/>
          <w:color w:val="auto"/>
          <w:highlight w:val="none"/>
        </w:rPr>
        <w:t>（六）交通运输业。</w:t>
      </w:r>
      <w:r>
        <w:rPr>
          <w:color w:val="auto"/>
          <w:highlight w:val="none"/>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65CC3853">
      <w:pPr>
        <w:spacing w:line="280" w:lineRule="exact"/>
        <w:ind w:firstLine="402"/>
        <w:rPr>
          <w:color w:val="auto"/>
          <w:highlight w:val="none"/>
        </w:rPr>
      </w:pPr>
      <w:r>
        <w:rPr>
          <w:b/>
          <w:color w:val="auto"/>
          <w:highlight w:val="none"/>
        </w:rPr>
        <w:t>（七）仓储业。</w:t>
      </w:r>
      <w:r>
        <w:rPr>
          <w:color w:val="auto"/>
          <w:highlight w:val="none"/>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699B8FE">
      <w:pPr>
        <w:spacing w:line="280" w:lineRule="exact"/>
        <w:ind w:firstLine="402"/>
        <w:rPr>
          <w:color w:val="auto"/>
          <w:highlight w:val="none"/>
        </w:rPr>
      </w:pPr>
      <w:r>
        <w:rPr>
          <w:b/>
          <w:color w:val="auto"/>
          <w:highlight w:val="none"/>
        </w:rPr>
        <w:t>（八）邮政业。</w:t>
      </w:r>
      <w:r>
        <w:rPr>
          <w:color w:val="auto"/>
          <w:highlight w:val="none"/>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325AD73E">
      <w:pPr>
        <w:spacing w:line="280" w:lineRule="exact"/>
        <w:ind w:firstLine="402"/>
        <w:rPr>
          <w:color w:val="auto"/>
          <w:highlight w:val="none"/>
        </w:rPr>
      </w:pPr>
      <w:r>
        <w:rPr>
          <w:b/>
          <w:color w:val="auto"/>
          <w:highlight w:val="none"/>
        </w:rPr>
        <w:t>（九）住宿业。</w:t>
      </w:r>
      <w:r>
        <w:rPr>
          <w:color w:val="auto"/>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2003FBC">
      <w:pPr>
        <w:spacing w:line="280" w:lineRule="exact"/>
        <w:ind w:firstLine="402"/>
        <w:rPr>
          <w:color w:val="auto"/>
          <w:highlight w:val="none"/>
        </w:rPr>
      </w:pPr>
      <w:r>
        <w:rPr>
          <w:b/>
          <w:color w:val="auto"/>
          <w:highlight w:val="none"/>
        </w:rPr>
        <w:t>（十）餐饮业。</w:t>
      </w:r>
      <w:r>
        <w:rPr>
          <w:color w:val="auto"/>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E9A03D0">
      <w:pPr>
        <w:spacing w:line="280" w:lineRule="exact"/>
        <w:ind w:firstLine="402"/>
        <w:rPr>
          <w:color w:val="auto"/>
          <w:highlight w:val="none"/>
        </w:rPr>
      </w:pPr>
      <w:r>
        <w:rPr>
          <w:b/>
          <w:color w:val="auto"/>
          <w:highlight w:val="none"/>
        </w:rPr>
        <w:t>（十一）信息传输业。</w:t>
      </w:r>
      <w:r>
        <w:rPr>
          <w:color w:val="auto"/>
          <w:highlight w:val="none"/>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35910759">
      <w:pPr>
        <w:spacing w:line="280" w:lineRule="exact"/>
        <w:ind w:firstLine="402"/>
        <w:rPr>
          <w:color w:val="auto"/>
          <w:highlight w:val="none"/>
        </w:rPr>
      </w:pPr>
      <w:r>
        <w:rPr>
          <w:b/>
          <w:color w:val="auto"/>
          <w:highlight w:val="none"/>
        </w:rPr>
        <w:t>（十二）软件和信息技术服务业。</w:t>
      </w:r>
      <w:r>
        <w:rPr>
          <w:color w:val="auto"/>
          <w:highlight w:val="none"/>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7D3B16F">
      <w:pPr>
        <w:spacing w:line="280" w:lineRule="exact"/>
        <w:ind w:firstLine="402"/>
        <w:rPr>
          <w:color w:val="auto"/>
          <w:highlight w:val="none"/>
        </w:rPr>
      </w:pPr>
      <w:r>
        <w:rPr>
          <w:b/>
          <w:color w:val="auto"/>
          <w:highlight w:val="none"/>
        </w:rPr>
        <w:t>（十三）房地产开发经营。</w:t>
      </w:r>
      <w:r>
        <w:rPr>
          <w:color w:val="auto"/>
          <w:highlight w:val="none"/>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2F4AA978">
      <w:pPr>
        <w:spacing w:line="280" w:lineRule="exact"/>
        <w:ind w:firstLine="402"/>
        <w:rPr>
          <w:color w:val="auto"/>
          <w:highlight w:val="none"/>
        </w:rPr>
      </w:pPr>
      <w:r>
        <w:rPr>
          <w:b/>
          <w:color w:val="auto"/>
          <w:highlight w:val="none"/>
        </w:rPr>
        <w:t>（十四）物业管理。</w:t>
      </w:r>
      <w:r>
        <w:rPr>
          <w:color w:val="auto"/>
          <w:highlight w:val="none"/>
        </w:rPr>
        <w:t>从业人员1000人以下或营业收入5000万元以下的为中小微型企业。其中，从业人员</w:t>
      </w:r>
    </w:p>
    <w:p w14:paraId="5E5438A2">
      <w:pPr>
        <w:spacing w:line="280" w:lineRule="exact"/>
        <w:rPr>
          <w:color w:val="auto"/>
          <w:highlight w:val="none"/>
        </w:rPr>
      </w:pPr>
      <w:r>
        <w:rPr>
          <w:color w:val="auto"/>
          <w:highlight w:val="none"/>
        </w:rPr>
        <w:t>300人及以上，且营业收入1000万元及以上的为中型企业；从业人员100人及以上，且营业收入500万元及以上的为小型企业；从业人员100人以下或营业收入500万元以下的为微型企业。</w:t>
      </w:r>
    </w:p>
    <w:p w14:paraId="600D8919">
      <w:pPr>
        <w:spacing w:line="280" w:lineRule="exact"/>
        <w:ind w:firstLine="402"/>
        <w:rPr>
          <w:color w:val="auto"/>
          <w:highlight w:val="none"/>
        </w:rPr>
      </w:pPr>
      <w:r>
        <w:rPr>
          <w:b/>
          <w:color w:val="auto"/>
          <w:highlight w:val="none"/>
        </w:rPr>
        <w:t>（十五）租赁和商务服务业。</w:t>
      </w:r>
      <w:r>
        <w:rPr>
          <w:color w:val="auto"/>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025173A8">
      <w:pPr>
        <w:spacing w:line="280" w:lineRule="exact"/>
        <w:ind w:firstLine="402"/>
        <w:rPr>
          <w:color w:val="auto"/>
          <w:highlight w:val="none"/>
        </w:rPr>
      </w:pPr>
      <w:r>
        <w:rPr>
          <w:b/>
          <w:color w:val="auto"/>
          <w:highlight w:val="none"/>
        </w:rPr>
        <w:t>（十六）其他未列明行业。</w:t>
      </w:r>
      <w:r>
        <w:rPr>
          <w:color w:val="auto"/>
          <w:highlight w:val="none"/>
        </w:rPr>
        <w:t>从业人员300人以下的为中小微型企业。其中，从业人员100人及以上的为中型企业；从业人员10人及以上的为小型企业；从业人员10人以下的为微型企业。</w:t>
      </w:r>
    </w:p>
    <w:p w14:paraId="09CE92E8">
      <w:pPr>
        <w:pStyle w:val="21"/>
        <w:outlineLvl w:val="1"/>
        <w:rPr>
          <w:rFonts w:ascii="Times New Roman" w:hAnsi="Times New Roman"/>
          <w:b/>
          <w:bCs/>
          <w:color w:val="auto"/>
          <w:szCs w:val="21"/>
          <w:highlight w:val="none"/>
        </w:rPr>
      </w:pPr>
      <w:r>
        <w:rPr>
          <w:rFonts w:hint="eastAsia" w:ascii="Times New Roman" w:hAnsi="Times New Roman"/>
          <w:b/>
          <w:bCs/>
          <w:color w:val="auto"/>
          <w:szCs w:val="21"/>
          <w:highlight w:val="none"/>
        </w:rPr>
        <w:br w:type="column"/>
      </w:r>
      <w:r>
        <w:rPr>
          <w:rFonts w:hint="eastAsia" w:ascii="Times New Roman" w:hAnsi="Times New Roman"/>
          <w:b/>
          <w:bCs/>
          <w:color w:val="auto"/>
          <w:szCs w:val="21"/>
          <w:highlight w:val="none"/>
        </w:rPr>
        <w:t>格式</w:t>
      </w:r>
      <w:r>
        <w:rPr>
          <w:rFonts w:ascii="Times New Roman" w:hAnsi="Times New Roman"/>
          <w:b/>
          <w:bCs/>
          <w:color w:val="auto"/>
          <w:szCs w:val="21"/>
          <w:highlight w:val="none"/>
        </w:rPr>
        <w:t>1</w:t>
      </w:r>
      <w:r>
        <w:rPr>
          <w:rFonts w:hint="eastAsia" w:ascii="Times New Roman" w:hAnsi="Times New Roman"/>
          <w:b/>
          <w:bCs/>
          <w:color w:val="auto"/>
          <w:szCs w:val="21"/>
          <w:highlight w:val="none"/>
        </w:rPr>
        <w:t>2</w:t>
      </w:r>
      <w:r>
        <w:rPr>
          <w:rFonts w:ascii="Times New Roman" w:hAnsi="Times New Roman"/>
          <w:b/>
          <w:bCs/>
          <w:color w:val="auto"/>
          <w:szCs w:val="21"/>
          <w:highlight w:val="none"/>
        </w:rPr>
        <w:t>：残疾人福利性单位声明函</w:t>
      </w:r>
      <w:bookmarkEnd w:id="50"/>
      <w:bookmarkEnd w:id="51"/>
    </w:p>
    <w:p w14:paraId="54E67B77">
      <w:pPr>
        <w:spacing w:line="400" w:lineRule="exact"/>
        <w:jc w:val="center"/>
        <w:rPr>
          <w:b/>
          <w:bCs/>
          <w:color w:val="auto"/>
          <w:sz w:val="24"/>
          <w:highlight w:val="none"/>
          <w:lang w:val="zh-CN"/>
        </w:rPr>
      </w:pPr>
      <w:bookmarkStart w:id="52" w:name="OLE_LINK13"/>
      <w:bookmarkStart w:id="53" w:name="OLE_LINK14"/>
      <w:r>
        <w:rPr>
          <w:b/>
          <w:bCs/>
          <w:color w:val="auto"/>
          <w:sz w:val="24"/>
          <w:highlight w:val="none"/>
          <w:lang w:val="zh-CN"/>
        </w:rPr>
        <w:t>残疾人福利性单位声明函</w:t>
      </w:r>
      <w:bookmarkEnd w:id="52"/>
      <w:bookmarkEnd w:id="53"/>
    </w:p>
    <w:p w14:paraId="291B6302">
      <w:pPr>
        <w:spacing w:line="360" w:lineRule="auto"/>
        <w:ind w:firstLine="420"/>
        <w:rPr>
          <w:color w:val="auto"/>
          <w:szCs w:val="21"/>
          <w:highlight w:val="none"/>
        </w:rPr>
      </w:pPr>
      <w:r>
        <w:rPr>
          <w:color w:val="auto"/>
          <w:szCs w:val="21"/>
          <w:highlight w:val="none"/>
        </w:rPr>
        <w:t>本单位郑重声明，根据《财政部  民政部  中国残疾人联合会关于促进残疾人就业政府采购政策的通知》（财库〔2017〕141号）的规定，本单位为符合条件的残疾人福利性单位，且本单位参加</w:t>
      </w:r>
      <w:r>
        <w:rPr>
          <w:color w:val="auto"/>
          <w:szCs w:val="21"/>
          <w:highlight w:val="none"/>
          <w:lang w:val="zh-CN"/>
        </w:rPr>
        <w:t>贵中心组织实施的编号为</w:t>
      </w:r>
      <w:r>
        <w:rPr>
          <w:color w:val="auto"/>
          <w:szCs w:val="21"/>
          <w:highlight w:val="none"/>
          <w:u w:val="single"/>
          <w:lang w:val="zh-CN"/>
        </w:rPr>
        <w:t xml:space="preserve">              </w:t>
      </w:r>
      <w:r>
        <w:rPr>
          <w:color w:val="auto"/>
          <w:szCs w:val="21"/>
          <w:highlight w:val="none"/>
          <w:lang w:val="zh-CN"/>
        </w:rPr>
        <w:t>号的采购活动</w:t>
      </w:r>
      <w:r>
        <w:rPr>
          <w:color w:val="auto"/>
          <w:szCs w:val="21"/>
          <w:highlight w:val="none"/>
        </w:rPr>
        <w:t>提供本单位制造的货物（由本单位承担工程/提供服务），或者提供其他残疾人福利性单位制造的货物（不包括使用非残疾人福利性单位注册商标的货物）。</w:t>
      </w:r>
    </w:p>
    <w:p w14:paraId="1AB205AB">
      <w:pPr>
        <w:spacing w:line="580" w:lineRule="exact"/>
        <w:ind w:firstLine="420"/>
        <w:rPr>
          <w:color w:val="auto"/>
          <w:szCs w:val="21"/>
          <w:highlight w:val="none"/>
        </w:rPr>
      </w:pPr>
      <w:r>
        <w:rPr>
          <w:color w:val="auto"/>
          <w:szCs w:val="21"/>
          <w:highlight w:val="none"/>
        </w:rPr>
        <w:t>本单位对上述声明的真实性负责。如有虚假，将依法承担相应责任。</w:t>
      </w:r>
    </w:p>
    <w:p w14:paraId="3A901E9A">
      <w:pPr>
        <w:spacing w:line="580" w:lineRule="exact"/>
        <w:ind w:firstLine="420"/>
        <w:rPr>
          <w:color w:val="auto"/>
          <w:szCs w:val="21"/>
          <w:highlight w:val="none"/>
        </w:rPr>
      </w:pPr>
    </w:p>
    <w:p w14:paraId="45F2DD9A">
      <w:pPr>
        <w:tabs>
          <w:tab w:val="left" w:pos="4860"/>
        </w:tabs>
        <w:spacing w:line="580" w:lineRule="exact"/>
        <w:ind w:right="1560" w:firstLine="420"/>
        <w:jc w:val="right"/>
        <w:rPr>
          <w:color w:val="auto"/>
          <w:szCs w:val="21"/>
          <w:highlight w:val="none"/>
        </w:rPr>
      </w:pPr>
      <w:r>
        <w:rPr>
          <w:color w:val="auto"/>
          <w:szCs w:val="21"/>
          <w:highlight w:val="none"/>
        </w:rPr>
        <w:t xml:space="preserve">                    单位名称（盖章）：</w:t>
      </w:r>
    </w:p>
    <w:p w14:paraId="112C26C1">
      <w:pPr>
        <w:tabs>
          <w:tab w:val="left" w:pos="4860"/>
        </w:tabs>
        <w:spacing w:line="580" w:lineRule="exact"/>
        <w:ind w:right="1560" w:firstLine="420"/>
        <w:jc w:val="right"/>
        <w:rPr>
          <w:b/>
          <w:bCs/>
          <w:color w:val="auto"/>
          <w:highlight w:val="none"/>
        </w:rPr>
      </w:pPr>
      <w:r>
        <w:rPr>
          <w:color w:val="auto"/>
          <w:szCs w:val="21"/>
          <w:highlight w:val="none"/>
        </w:rPr>
        <w:t xml:space="preserve">                 日期：      年    月    日</w:t>
      </w:r>
    </w:p>
    <w:p w14:paraId="65D76A5D">
      <w:pPr>
        <w:rPr>
          <w:color w:val="auto"/>
          <w:sz w:val="24"/>
          <w:highlight w:val="none"/>
        </w:rPr>
      </w:pPr>
    </w:p>
    <w:p w14:paraId="14187117">
      <w:pPr>
        <w:pStyle w:val="202"/>
        <w:ind w:firstLine="0"/>
        <w:outlineLvl w:val="1"/>
        <w:rPr>
          <w:b/>
          <w:bCs/>
          <w:color w:val="auto"/>
          <w:szCs w:val="21"/>
          <w:highlight w:val="none"/>
        </w:rPr>
      </w:pPr>
      <w:r>
        <w:rPr>
          <w:rFonts w:hint="eastAsia"/>
          <w:color w:val="auto"/>
          <w:highlight w:val="none"/>
          <w:lang w:val="en-US"/>
        </w:rPr>
        <w:br w:type="page" w:clear="all"/>
      </w:r>
      <w:r>
        <w:rPr>
          <w:rFonts w:hint="eastAsia"/>
          <w:b/>
          <w:color w:val="auto"/>
          <w:sz w:val="21"/>
          <w:szCs w:val="21"/>
          <w:highlight w:val="none"/>
          <w:lang w:val="en-US"/>
        </w:rPr>
        <w:t>格式13：</w:t>
      </w:r>
      <w:r>
        <w:rPr>
          <w:b/>
          <w:color w:val="auto"/>
          <w:sz w:val="21"/>
          <w:szCs w:val="21"/>
          <w:highlight w:val="none"/>
        </w:rPr>
        <w:t>投标（响应）保证承诺书</w:t>
      </w:r>
    </w:p>
    <w:p w14:paraId="08B74A23">
      <w:pPr>
        <w:spacing w:line="480" w:lineRule="auto"/>
        <w:jc w:val="center"/>
        <w:rPr>
          <w:b/>
          <w:color w:val="auto"/>
          <w:spacing w:val="6"/>
          <w:sz w:val="32"/>
          <w:szCs w:val="32"/>
          <w:highlight w:val="none"/>
        </w:rPr>
      </w:pPr>
      <w:r>
        <w:rPr>
          <w:b/>
          <w:color w:val="auto"/>
          <w:spacing w:val="6"/>
          <w:sz w:val="32"/>
          <w:szCs w:val="32"/>
          <w:highlight w:val="none"/>
        </w:rPr>
        <w:t>投标（响应）保证承诺书（参考格式）</w:t>
      </w:r>
    </w:p>
    <w:p w14:paraId="7AA3DED4">
      <w:pPr>
        <w:pStyle w:val="38"/>
        <w:spacing w:line="440" w:lineRule="exact"/>
        <w:rPr>
          <w:color w:val="auto"/>
          <w:sz w:val="21"/>
          <w:szCs w:val="21"/>
          <w:highlight w:val="none"/>
        </w:rPr>
      </w:pPr>
      <w:r>
        <w:rPr>
          <w:color w:val="auto"/>
          <w:sz w:val="21"/>
          <w:szCs w:val="21"/>
          <w:highlight w:val="none"/>
        </w:rPr>
        <w:t>致：</w:t>
      </w:r>
      <w:r>
        <w:rPr>
          <w:color w:val="auto"/>
          <w:sz w:val="21"/>
          <w:szCs w:val="21"/>
          <w:highlight w:val="none"/>
          <w:u w:val="single"/>
        </w:rPr>
        <w:t xml:space="preserve">    （采购代理机构名称）           </w:t>
      </w:r>
    </w:p>
    <w:p w14:paraId="7BA85B1B">
      <w:pPr>
        <w:pStyle w:val="38"/>
        <w:spacing w:line="440" w:lineRule="exact"/>
        <w:ind w:firstLine="600"/>
        <w:rPr>
          <w:color w:val="auto"/>
          <w:sz w:val="21"/>
          <w:szCs w:val="21"/>
          <w:highlight w:val="none"/>
        </w:rPr>
      </w:pPr>
      <w:r>
        <w:rPr>
          <w:color w:val="auto"/>
          <w:sz w:val="21"/>
          <w:szCs w:val="21"/>
          <w:highlight w:val="none"/>
        </w:rPr>
        <w:t>我（单位/本人，以下统称我单位）自愿参加</w:t>
      </w:r>
      <w:r>
        <w:rPr>
          <w:color w:val="auto"/>
          <w:sz w:val="21"/>
          <w:szCs w:val="21"/>
          <w:highlight w:val="none"/>
          <w:u w:val="single"/>
        </w:rPr>
        <w:t> （项目名称和采购编号）</w:t>
      </w:r>
      <w:r>
        <w:rPr>
          <w:color w:val="auto"/>
          <w:sz w:val="21"/>
          <w:szCs w:val="21"/>
          <w:highlight w:val="none"/>
        </w:rPr>
        <w:t>的投标（响应）,并做出如下承诺：</w:t>
      </w:r>
    </w:p>
    <w:p w14:paraId="04BC10D3">
      <w:pPr>
        <w:pStyle w:val="38"/>
        <w:spacing w:line="440" w:lineRule="exact"/>
        <w:ind w:firstLine="600"/>
        <w:rPr>
          <w:color w:val="auto"/>
          <w:sz w:val="21"/>
          <w:szCs w:val="21"/>
          <w:highlight w:val="none"/>
        </w:rPr>
      </w:pPr>
      <w:r>
        <w:rPr>
          <w:color w:val="auto"/>
          <w:sz w:val="21"/>
          <w:szCs w:val="21"/>
          <w:highlight w:val="none"/>
        </w:rPr>
        <w:t>一、除不可抗力外，我单位如果发生以下行为，将在行为发生的10个工作日内，向贵方</w:t>
      </w:r>
      <w:r>
        <w:rPr>
          <w:color w:val="auto"/>
          <w:sz w:val="21"/>
          <w:szCs w:val="21"/>
          <w:highlight w:val="none"/>
          <w:u w:val="single"/>
        </w:rPr>
        <w:t>（或采购人）</w:t>
      </w:r>
      <w:r>
        <w:rPr>
          <w:color w:val="auto"/>
          <w:sz w:val="21"/>
          <w:szCs w:val="21"/>
          <w:highlight w:val="none"/>
        </w:rPr>
        <w:t>支付本采购文件公布的预算金额（或最高限价）的2%作为违约赔偿金（数量不确定的单价采购须约定具体金额）。</w:t>
      </w:r>
    </w:p>
    <w:p w14:paraId="3DDE256D">
      <w:pPr>
        <w:pStyle w:val="38"/>
        <w:numPr>
          <w:ilvl w:val="0"/>
          <w:numId w:val="4"/>
        </w:numPr>
        <w:tabs>
          <w:tab w:val="left" w:pos="567"/>
        </w:tabs>
        <w:spacing w:line="440" w:lineRule="exact"/>
        <w:ind w:left="709" w:hanging="425"/>
        <w:rPr>
          <w:color w:val="auto"/>
          <w:sz w:val="21"/>
          <w:szCs w:val="21"/>
          <w:highlight w:val="none"/>
        </w:rPr>
      </w:pPr>
      <w:r>
        <w:rPr>
          <w:color w:val="auto"/>
          <w:sz w:val="21"/>
          <w:szCs w:val="21"/>
          <w:highlight w:val="none"/>
        </w:rPr>
        <w:t>自投标（响应）截止时间至本项目发布中标（成交）公告为止，撤销投标（响应）；</w:t>
      </w:r>
    </w:p>
    <w:p w14:paraId="0E4E97F9">
      <w:pPr>
        <w:pStyle w:val="38"/>
        <w:numPr>
          <w:ilvl w:val="0"/>
          <w:numId w:val="4"/>
        </w:numPr>
        <w:tabs>
          <w:tab w:val="left" w:pos="567"/>
        </w:tabs>
        <w:spacing w:line="440" w:lineRule="exact"/>
        <w:ind w:left="709" w:hanging="425"/>
        <w:rPr>
          <w:color w:val="auto"/>
          <w:sz w:val="21"/>
          <w:szCs w:val="21"/>
          <w:highlight w:val="none"/>
        </w:rPr>
      </w:pPr>
      <w:r>
        <w:rPr>
          <w:color w:val="auto"/>
          <w:sz w:val="21"/>
          <w:szCs w:val="21"/>
          <w:highlight w:val="none"/>
        </w:rPr>
        <w:t>中标（成交）后不依法与采购人签订合同；</w:t>
      </w:r>
    </w:p>
    <w:p w14:paraId="7828E8F8">
      <w:pPr>
        <w:pStyle w:val="38"/>
        <w:numPr>
          <w:ilvl w:val="0"/>
          <w:numId w:val="4"/>
        </w:numPr>
        <w:tabs>
          <w:tab w:val="left" w:pos="567"/>
        </w:tabs>
        <w:spacing w:line="440" w:lineRule="exact"/>
        <w:ind w:left="709" w:hanging="425"/>
        <w:rPr>
          <w:color w:val="auto"/>
          <w:sz w:val="21"/>
          <w:szCs w:val="21"/>
          <w:highlight w:val="none"/>
        </w:rPr>
      </w:pPr>
      <w:r>
        <w:rPr>
          <w:color w:val="auto"/>
          <w:sz w:val="21"/>
          <w:szCs w:val="21"/>
          <w:highlight w:val="none"/>
        </w:rPr>
        <w:t>中标（成交）后不按本采购文件规定向采购人提交履约保证金；</w:t>
      </w:r>
    </w:p>
    <w:p w14:paraId="547E772A">
      <w:pPr>
        <w:pStyle w:val="38"/>
        <w:numPr>
          <w:ilvl w:val="0"/>
          <w:numId w:val="4"/>
        </w:numPr>
        <w:tabs>
          <w:tab w:val="left" w:pos="567"/>
        </w:tabs>
        <w:spacing w:line="440" w:lineRule="exact"/>
        <w:ind w:left="709" w:hanging="425"/>
        <w:rPr>
          <w:color w:val="auto"/>
          <w:sz w:val="21"/>
          <w:szCs w:val="21"/>
          <w:highlight w:val="none"/>
        </w:rPr>
      </w:pPr>
      <w:r>
        <w:rPr>
          <w:color w:val="auto"/>
          <w:sz w:val="21"/>
          <w:szCs w:val="21"/>
          <w:highlight w:val="none"/>
        </w:rPr>
        <w:t>中标（成交）后不按本采购文件规定向贵方缴纳采购代理费。</w:t>
      </w:r>
      <w:bookmarkStart w:id="74" w:name="_GoBack"/>
      <w:bookmarkEnd w:id="74"/>
    </w:p>
    <w:p w14:paraId="12AE76E1">
      <w:pPr>
        <w:pStyle w:val="38"/>
        <w:spacing w:line="440" w:lineRule="exact"/>
        <w:ind w:firstLine="600"/>
        <w:rPr>
          <w:color w:val="auto"/>
          <w:sz w:val="21"/>
          <w:szCs w:val="21"/>
          <w:highlight w:val="none"/>
        </w:rPr>
      </w:pPr>
      <w:r>
        <w:rPr>
          <w:color w:val="auto"/>
          <w:sz w:val="21"/>
          <w:szCs w:val="21"/>
          <w:highlight w:val="none"/>
        </w:rPr>
        <w:t>二、我单位知晓上述行为的法律后果，承认本承诺书作为贵方</w:t>
      </w:r>
      <w:r>
        <w:rPr>
          <w:color w:val="auto"/>
          <w:sz w:val="21"/>
          <w:szCs w:val="21"/>
          <w:highlight w:val="none"/>
          <w:u w:val="single"/>
        </w:rPr>
        <w:t>（或采购人）</w:t>
      </w:r>
      <w:r>
        <w:rPr>
          <w:color w:val="auto"/>
          <w:sz w:val="21"/>
          <w:szCs w:val="21"/>
          <w:highlight w:val="none"/>
        </w:rPr>
        <w:t>要求我单位履行违约赔偿义务的依据作用。</w:t>
      </w:r>
    </w:p>
    <w:p w14:paraId="4A134970">
      <w:pPr>
        <w:pStyle w:val="38"/>
        <w:spacing w:line="440" w:lineRule="exact"/>
        <w:ind w:left="1560"/>
        <w:rPr>
          <w:color w:val="auto"/>
          <w:sz w:val="21"/>
          <w:szCs w:val="21"/>
          <w:highlight w:val="none"/>
        </w:rPr>
      </w:pPr>
      <w:r>
        <w:rPr>
          <w:color w:val="auto"/>
          <w:sz w:val="21"/>
          <w:szCs w:val="21"/>
          <w:highlight w:val="none"/>
        </w:rPr>
        <w:t> </w:t>
      </w:r>
    </w:p>
    <w:p w14:paraId="60F53443">
      <w:pPr>
        <w:spacing w:line="440" w:lineRule="exact"/>
        <w:rPr>
          <w:color w:val="auto"/>
          <w:szCs w:val="21"/>
          <w:highlight w:val="none"/>
        </w:rPr>
      </w:pPr>
      <w:r>
        <w:rPr>
          <w:color w:val="auto"/>
          <w:szCs w:val="21"/>
          <w:highlight w:val="none"/>
        </w:rPr>
        <w:t>投标（响应）人：</w:t>
      </w:r>
      <w:r>
        <w:rPr>
          <w:color w:val="auto"/>
          <w:szCs w:val="21"/>
          <w:highlight w:val="none"/>
          <w:u w:val="single"/>
        </w:rPr>
        <w:t xml:space="preserve">                               </w:t>
      </w:r>
      <w:r>
        <w:rPr>
          <w:color w:val="auto"/>
          <w:szCs w:val="21"/>
          <w:highlight w:val="none"/>
        </w:rPr>
        <w:t>（盖公章）</w:t>
      </w:r>
    </w:p>
    <w:p w14:paraId="39E2E1BB">
      <w:pPr>
        <w:spacing w:line="440" w:lineRule="exact"/>
        <w:rPr>
          <w:color w:val="auto"/>
          <w:szCs w:val="21"/>
          <w:highlight w:val="none"/>
          <w:u w:val="single"/>
        </w:rPr>
      </w:pPr>
      <w:r>
        <w:rPr>
          <w:color w:val="auto"/>
          <w:szCs w:val="21"/>
          <w:highlight w:val="none"/>
        </w:rPr>
        <w:t>地址：</w:t>
      </w:r>
      <w:r>
        <w:rPr>
          <w:color w:val="auto"/>
          <w:szCs w:val="21"/>
          <w:highlight w:val="none"/>
          <w:u w:val="single"/>
        </w:rPr>
        <w:t>                               </w:t>
      </w:r>
    </w:p>
    <w:p w14:paraId="4FFA9248">
      <w:pPr>
        <w:pStyle w:val="53"/>
        <w:spacing w:line="440" w:lineRule="exact"/>
        <w:ind w:firstLine="0"/>
        <w:rPr>
          <w:rFonts w:ascii="Times New Roman"/>
          <w:color w:val="auto"/>
          <w:szCs w:val="21"/>
          <w:highlight w:val="none"/>
          <w:u w:val="single"/>
        </w:rPr>
      </w:pPr>
      <w:r>
        <w:rPr>
          <w:rFonts w:ascii="Times New Roman"/>
          <w:color w:val="auto"/>
          <w:szCs w:val="21"/>
          <w:highlight w:val="none"/>
        </w:rPr>
        <w:t>电话：</w:t>
      </w:r>
      <w:r>
        <w:rPr>
          <w:rFonts w:ascii="Times New Roman"/>
          <w:color w:val="auto"/>
          <w:szCs w:val="21"/>
          <w:highlight w:val="none"/>
          <w:u w:val="single"/>
        </w:rPr>
        <w:t xml:space="preserve">                         </w:t>
      </w:r>
      <w:r>
        <w:rPr>
          <w:rFonts w:ascii="Times New Roman"/>
          <w:color w:val="auto"/>
          <w:szCs w:val="21"/>
          <w:highlight w:val="none"/>
        </w:rPr>
        <w:t xml:space="preserve">      传真：</w:t>
      </w:r>
      <w:r>
        <w:rPr>
          <w:rFonts w:ascii="Times New Roman"/>
          <w:color w:val="auto"/>
          <w:szCs w:val="21"/>
          <w:highlight w:val="none"/>
          <w:u w:val="single"/>
        </w:rPr>
        <w:t xml:space="preserve">                        </w:t>
      </w:r>
    </w:p>
    <w:p w14:paraId="5ACABBB5">
      <w:pPr>
        <w:spacing w:line="440" w:lineRule="exact"/>
        <w:rPr>
          <w:color w:val="auto"/>
          <w:szCs w:val="21"/>
          <w:highlight w:val="none"/>
          <w:u w:val="single"/>
        </w:rPr>
      </w:pPr>
      <w:r>
        <w:rPr>
          <w:color w:val="auto"/>
          <w:szCs w:val="21"/>
          <w:highlight w:val="none"/>
        </w:rPr>
        <w:t>电子邮件：</w:t>
      </w:r>
      <w:r>
        <w:rPr>
          <w:color w:val="auto"/>
          <w:szCs w:val="21"/>
          <w:highlight w:val="none"/>
          <w:u w:val="single"/>
        </w:rPr>
        <w:t xml:space="preserve">                     </w:t>
      </w:r>
      <w:r>
        <w:rPr>
          <w:color w:val="auto"/>
          <w:szCs w:val="21"/>
          <w:highlight w:val="none"/>
        </w:rPr>
        <w:t xml:space="preserve">      邮编：</w:t>
      </w:r>
      <w:r>
        <w:rPr>
          <w:color w:val="auto"/>
          <w:szCs w:val="21"/>
          <w:highlight w:val="none"/>
          <w:u w:val="single"/>
        </w:rPr>
        <w:t xml:space="preserve">                       </w:t>
      </w:r>
    </w:p>
    <w:p w14:paraId="2E8FE9A5">
      <w:pPr>
        <w:pStyle w:val="53"/>
        <w:spacing w:line="440" w:lineRule="exact"/>
        <w:ind w:firstLine="0"/>
        <w:rPr>
          <w:rFonts w:ascii="Times New Roman"/>
          <w:color w:val="auto"/>
          <w:szCs w:val="21"/>
          <w:highlight w:val="none"/>
          <w:u w:val="single"/>
        </w:rPr>
      </w:pPr>
      <w:r>
        <w:rPr>
          <w:rFonts w:ascii="Times New Roman"/>
          <w:color w:val="auto"/>
          <w:szCs w:val="21"/>
          <w:highlight w:val="none"/>
        </w:rPr>
        <w:t>法定代表人或委托代理人（签字或盖章）：</w:t>
      </w:r>
      <w:r>
        <w:rPr>
          <w:rFonts w:ascii="Times New Roman"/>
          <w:color w:val="auto"/>
          <w:szCs w:val="21"/>
          <w:highlight w:val="none"/>
          <w:u w:val="single"/>
        </w:rPr>
        <w:t xml:space="preserve">                      </w:t>
      </w:r>
    </w:p>
    <w:p w14:paraId="62031F14">
      <w:pPr>
        <w:spacing w:line="440" w:lineRule="exact"/>
        <w:rPr>
          <w:color w:val="auto"/>
          <w:szCs w:val="21"/>
          <w:highlight w:val="none"/>
        </w:rPr>
      </w:pPr>
      <w:r>
        <w:rPr>
          <w:color w:val="auto"/>
          <w:szCs w:val="21"/>
          <w:highlight w:val="none"/>
        </w:rPr>
        <w:t>日期：</w:t>
      </w:r>
      <w:r>
        <w:rPr>
          <w:color w:val="auto"/>
          <w:szCs w:val="21"/>
          <w:highlight w:val="none"/>
          <w:u w:val="single"/>
        </w:rPr>
        <w:t xml:space="preserve">                       </w:t>
      </w:r>
    </w:p>
    <w:p w14:paraId="2CCC2EB0">
      <w:pPr>
        <w:pStyle w:val="34"/>
        <w:ind w:right="420" w:firstLine="422"/>
        <w:rPr>
          <w:b/>
          <w:bCs/>
          <w:color w:val="auto"/>
          <w:sz w:val="21"/>
          <w:szCs w:val="21"/>
          <w:highlight w:val="none"/>
        </w:rPr>
      </w:pPr>
    </w:p>
    <w:p w14:paraId="3027E969">
      <w:pPr>
        <w:pStyle w:val="202"/>
        <w:ind w:firstLine="0"/>
        <w:outlineLvl w:val="1"/>
        <w:rPr>
          <w:b/>
          <w:bCs/>
          <w:color w:val="auto"/>
          <w:szCs w:val="21"/>
          <w:highlight w:val="none"/>
        </w:rPr>
      </w:pPr>
      <w:r>
        <w:rPr>
          <w:rFonts w:hint="eastAsia"/>
          <w:b/>
          <w:color w:val="auto"/>
          <w:sz w:val="21"/>
          <w:szCs w:val="21"/>
          <w:highlight w:val="none"/>
          <w:lang w:val="en-US"/>
        </w:rPr>
        <w:br w:type="page" w:clear="all"/>
      </w:r>
      <w:r>
        <w:rPr>
          <w:rFonts w:hint="eastAsia"/>
          <w:b/>
          <w:color w:val="auto"/>
          <w:sz w:val="21"/>
          <w:szCs w:val="21"/>
          <w:highlight w:val="none"/>
          <w:lang w:val="en-US"/>
        </w:rPr>
        <w:t>格式14：</w:t>
      </w:r>
      <w:r>
        <w:rPr>
          <w:rFonts w:hint="eastAsia" w:ascii="宋体" w:hAnsi="宋体" w:cs="宋体"/>
          <w:b/>
          <w:bCs/>
          <w:color w:val="auto"/>
          <w:sz w:val="21"/>
          <w:szCs w:val="21"/>
          <w:highlight w:val="none"/>
        </w:rPr>
        <w:t>具备履行合同所必需的设备和专业技术能力的书面声明</w:t>
      </w:r>
    </w:p>
    <w:p w14:paraId="063221F6">
      <w:pPr>
        <w:pStyle w:val="15"/>
        <w:spacing w:line="440" w:lineRule="exact"/>
        <w:jc w:val="center"/>
        <w:rPr>
          <w:rFonts w:hint="eastAsia" w:ascii="宋体" w:hAnsi="宋体" w:cs="宋体"/>
          <w:b/>
          <w:bCs/>
          <w:color w:val="auto"/>
          <w:sz w:val="32"/>
          <w:szCs w:val="32"/>
          <w:highlight w:val="none"/>
        </w:rPr>
      </w:pPr>
    </w:p>
    <w:p w14:paraId="4C4D926A">
      <w:pPr>
        <w:pStyle w:val="15"/>
        <w:spacing w:line="440" w:lineRule="exact"/>
        <w:jc w:val="center"/>
        <w:rPr>
          <w:rFonts w:hint="eastAsia" w:ascii="宋体" w:hAnsi="宋体" w:cs="宋体"/>
          <w:b/>
          <w:bCs/>
          <w:color w:val="auto"/>
          <w:sz w:val="32"/>
          <w:szCs w:val="32"/>
          <w:highlight w:val="none"/>
        </w:rPr>
      </w:pPr>
    </w:p>
    <w:p w14:paraId="56F6C140">
      <w:pPr>
        <w:pStyle w:val="15"/>
        <w:spacing w:line="440" w:lineRule="exact"/>
        <w:ind w:right="790"/>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声    明</w:t>
      </w:r>
    </w:p>
    <w:p w14:paraId="53609ECC">
      <w:pPr>
        <w:pStyle w:val="15"/>
        <w:spacing w:line="440" w:lineRule="exact"/>
        <w:ind w:firstLine="440"/>
        <w:jc w:val="left"/>
        <w:rPr>
          <w:rFonts w:hint="eastAsia" w:ascii="宋体" w:hAnsi="宋体" w:cs="宋体"/>
          <w:color w:val="auto"/>
          <w:sz w:val="21"/>
          <w:szCs w:val="21"/>
          <w:highlight w:val="none"/>
        </w:rPr>
      </w:pPr>
    </w:p>
    <w:p w14:paraId="3CB8DD30">
      <w:pPr>
        <w:pStyle w:val="15"/>
        <w:spacing w:line="440" w:lineRule="exact"/>
        <w:ind w:firstLine="440"/>
        <w:jc w:val="left"/>
        <w:rPr>
          <w:rFonts w:hint="eastAsia" w:ascii="宋体" w:hAnsi="宋体" w:cs="宋体"/>
          <w:color w:val="auto"/>
          <w:sz w:val="21"/>
          <w:szCs w:val="21"/>
          <w:highlight w:val="none"/>
        </w:rPr>
      </w:pPr>
    </w:p>
    <w:p w14:paraId="1B0A558E">
      <w:pPr>
        <w:pStyle w:val="15"/>
        <w:spacing w:line="440" w:lineRule="exact"/>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我单位郑重声明：</w:t>
      </w:r>
    </w:p>
    <w:p w14:paraId="7680D743">
      <w:pPr>
        <w:pStyle w:val="15"/>
        <w:spacing w:line="440" w:lineRule="exact"/>
        <w:ind w:firstLine="44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我单位具备履行本项目政府采购合同所必需的设备和专业技术能力。</w:t>
      </w:r>
    </w:p>
    <w:p w14:paraId="47CF2BC3">
      <w:pPr>
        <w:pStyle w:val="15"/>
        <w:spacing w:line="440" w:lineRule="exact"/>
        <w:ind w:firstLine="440"/>
        <w:jc w:val="left"/>
        <w:rPr>
          <w:rFonts w:hint="eastAsia" w:ascii="宋体" w:hAnsi="宋体" w:cs="宋体"/>
          <w:color w:val="auto"/>
          <w:sz w:val="21"/>
          <w:szCs w:val="21"/>
          <w:highlight w:val="none"/>
        </w:rPr>
      </w:pPr>
    </w:p>
    <w:p w14:paraId="71CEAC95">
      <w:pPr>
        <w:pStyle w:val="15"/>
        <w:spacing w:line="440" w:lineRule="exact"/>
        <w:ind w:firstLine="440"/>
        <w:jc w:val="left"/>
        <w:rPr>
          <w:rFonts w:hint="eastAsia" w:ascii="宋体" w:hAnsi="宋体" w:cs="宋体"/>
          <w:color w:val="auto"/>
          <w:sz w:val="21"/>
          <w:szCs w:val="21"/>
          <w:highlight w:val="none"/>
        </w:rPr>
      </w:pPr>
    </w:p>
    <w:p w14:paraId="20BFBAAE">
      <w:pPr>
        <w:pStyle w:val="15"/>
        <w:spacing w:line="440" w:lineRule="exact"/>
        <w:ind w:firstLine="440"/>
        <w:jc w:val="left"/>
        <w:rPr>
          <w:rFonts w:hint="eastAsia" w:ascii="宋体" w:hAnsi="宋体" w:cs="宋体"/>
          <w:color w:val="auto"/>
          <w:sz w:val="21"/>
          <w:szCs w:val="21"/>
          <w:highlight w:val="none"/>
        </w:rPr>
      </w:pPr>
    </w:p>
    <w:p w14:paraId="76696413">
      <w:pPr>
        <w:pStyle w:val="15"/>
        <w:spacing w:line="440" w:lineRule="exact"/>
        <w:ind w:firstLine="44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响应单位（加盖公章）：</w:t>
      </w:r>
    </w:p>
    <w:p w14:paraId="443115F4">
      <w:pPr>
        <w:pStyle w:val="15"/>
        <w:spacing w:line="440" w:lineRule="exact"/>
        <w:ind w:firstLine="44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年  月  日</w:t>
      </w:r>
    </w:p>
    <w:p w14:paraId="2A23FE98">
      <w:pPr>
        <w:pStyle w:val="15"/>
        <w:ind w:firstLine="440"/>
        <w:jc w:val="left"/>
        <w:rPr>
          <w:rFonts w:hint="eastAsia" w:ascii="宋体" w:hAnsi="宋体" w:cs="宋体"/>
          <w:color w:val="auto"/>
          <w:sz w:val="21"/>
          <w:szCs w:val="21"/>
          <w:highlight w:val="none"/>
        </w:rPr>
      </w:pPr>
    </w:p>
    <w:p w14:paraId="41EAD59A">
      <w:pPr>
        <w:pStyle w:val="15"/>
        <w:outlineLvl w:val="1"/>
        <w:rPr>
          <w:rFonts w:hint="eastAsia" w:ascii="宋体" w:hAnsi="宋体" w:cs="宋体"/>
          <w:b/>
          <w:bCs/>
          <w:color w:val="auto"/>
          <w:sz w:val="21"/>
          <w:szCs w:val="21"/>
          <w:highlight w:val="none"/>
        </w:rPr>
      </w:pPr>
      <w:r>
        <w:rPr>
          <w:rFonts w:hint="eastAsia"/>
          <w:b/>
          <w:color w:val="auto"/>
          <w:sz w:val="21"/>
          <w:szCs w:val="21"/>
          <w:highlight w:val="none"/>
        </w:rPr>
        <w:br w:type="page" w:clear="all"/>
      </w:r>
      <w:r>
        <w:rPr>
          <w:rFonts w:hint="eastAsia"/>
          <w:b/>
          <w:color w:val="auto"/>
          <w:sz w:val="21"/>
          <w:szCs w:val="21"/>
          <w:highlight w:val="none"/>
        </w:rPr>
        <w:t>格式15：</w:t>
      </w:r>
      <w:r>
        <w:rPr>
          <w:rFonts w:hint="eastAsia" w:ascii="宋体" w:hAnsi="宋体" w:cs="宋体"/>
          <w:b/>
          <w:color w:val="auto"/>
          <w:sz w:val="21"/>
          <w:szCs w:val="21"/>
          <w:highlight w:val="none"/>
        </w:rPr>
        <w:t>参加政府采购活动前3年内在经营活动中没有重大违法记录的书面声明</w:t>
      </w:r>
    </w:p>
    <w:p w14:paraId="69113A40">
      <w:pPr>
        <w:pStyle w:val="15"/>
        <w:spacing w:line="440" w:lineRule="exact"/>
        <w:jc w:val="center"/>
        <w:rPr>
          <w:rFonts w:hint="eastAsia" w:ascii="宋体" w:hAnsi="宋体" w:cs="宋体"/>
          <w:b/>
          <w:bCs/>
          <w:color w:val="auto"/>
          <w:sz w:val="32"/>
          <w:szCs w:val="32"/>
          <w:highlight w:val="none"/>
        </w:rPr>
      </w:pPr>
    </w:p>
    <w:p w14:paraId="54F4AA20">
      <w:pPr>
        <w:pStyle w:val="15"/>
        <w:spacing w:line="440" w:lineRule="exact"/>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声    明</w:t>
      </w:r>
    </w:p>
    <w:p w14:paraId="492F77A6">
      <w:pPr>
        <w:pStyle w:val="15"/>
        <w:spacing w:line="440" w:lineRule="exact"/>
        <w:ind w:firstLine="440"/>
        <w:jc w:val="left"/>
        <w:rPr>
          <w:rFonts w:hint="eastAsia" w:ascii="宋体" w:hAnsi="宋体" w:cs="宋体"/>
          <w:color w:val="auto"/>
          <w:sz w:val="21"/>
          <w:szCs w:val="21"/>
          <w:highlight w:val="none"/>
        </w:rPr>
      </w:pPr>
    </w:p>
    <w:p w14:paraId="3D0DF5F8">
      <w:pPr>
        <w:pStyle w:val="15"/>
        <w:spacing w:line="440" w:lineRule="exact"/>
        <w:ind w:firstLine="442"/>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我单位郑重声明：参加本次政府采购活动前3年内，我单位在经营活动中没有因违法经营受到刑事处罚或者责令停产停业、吊销许可证或者执照、较大数额罚款等行政处罚。</w:t>
      </w:r>
    </w:p>
    <w:p w14:paraId="5BA1FCB0">
      <w:pPr>
        <w:pStyle w:val="15"/>
        <w:spacing w:line="440" w:lineRule="exact"/>
        <w:ind w:firstLine="440"/>
        <w:jc w:val="left"/>
        <w:rPr>
          <w:rFonts w:hint="eastAsia" w:ascii="宋体" w:hAnsi="宋体" w:cs="宋体"/>
          <w:color w:val="auto"/>
          <w:sz w:val="21"/>
          <w:szCs w:val="21"/>
          <w:highlight w:val="none"/>
        </w:rPr>
      </w:pPr>
    </w:p>
    <w:p w14:paraId="7067E4B8">
      <w:pPr>
        <w:pStyle w:val="15"/>
        <w:spacing w:line="440" w:lineRule="exact"/>
        <w:ind w:firstLine="440"/>
        <w:jc w:val="left"/>
        <w:rPr>
          <w:rFonts w:hint="eastAsia" w:ascii="宋体" w:hAnsi="宋体" w:cs="宋体"/>
          <w:color w:val="auto"/>
          <w:sz w:val="21"/>
          <w:szCs w:val="21"/>
          <w:highlight w:val="none"/>
        </w:rPr>
      </w:pPr>
    </w:p>
    <w:p w14:paraId="5CBE5F8D">
      <w:pPr>
        <w:pStyle w:val="15"/>
        <w:spacing w:line="440" w:lineRule="exact"/>
        <w:ind w:firstLine="440"/>
        <w:jc w:val="left"/>
        <w:rPr>
          <w:rFonts w:hint="eastAsia" w:ascii="宋体" w:hAnsi="宋体" w:cs="宋体"/>
          <w:color w:val="auto"/>
          <w:sz w:val="21"/>
          <w:szCs w:val="21"/>
          <w:highlight w:val="none"/>
        </w:rPr>
      </w:pPr>
    </w:p>
    <w:p w14:paraId="0E64960B">
      <w:pPr>
        <w:pStyle w:val="15"/>
        <w:spacing w:line="440" w:lineRule="exact"/>
        <w:ind w:firstLine="44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响应单位（加盖公章）：</w:t>
      </w:r>
    </w:p>
    <w:p w14:paraId="43DCD41A">
      <w:pPr>
        <w:pStyle w:val="15"/>
        <w:spacing w:line="440" w:lineRule="exact"/>
        <w:ind w:firstLine="44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年  月  日</w:t>
      </w:r>
    </w:p>
    <w:p w14:paraId="09C1B474">
      <w:pPr>
        <w:rPr>
          <w:b/>
          <w:color w:val="auto"/>
          <w:szCs w:val="21"/>
          <w:highlight w:val="none"/>
        </w:rPr>
      </w:pPr>
    </w:p>
    <w:p w14:paraId="673472CC">
      <w:pPr>
        <w:jc w:val="left"/>
        <w:outlineLvl w:val="1"/>
        <w:rPr>
          <w:color w:val="auto"/>
          <w:szCs w:val="21"/>
          <w:highlight w:val="none"/>
        </w:rPr>
      </w:pPr>
    </w:p>
    <w:p w14:paraId="6224DFD6">
      <w:pPr>
        <w:jc w:val="left"/>
        <w:rPr>
          <w:color w:val="auto"/>
          <w:szCs w:val="21"/>
          <w:highlight w:val="none"/>
        </w:rPr>
      </w:pPr>
    </w:p>
    <w:p w14:paraId="3BAC0BE1">
      <w:pPr>
        <w:pStyle w:val="21"/>
        <w:outlineLvl w:val="1"/>
        <w:rPr>
          <w:rFonts w:hint="eastAsia" w:hAnsi="宋体" w:cs="宋体"/>
          <w:b/>
          <w:bCs/>
          <w:color w:val="auto"/>
          <w:szCs w:val="21"/>
          <w:highlight w:val="none"/>
          <w:lang w:val="zh-CN"/>
        </w:rPr>
      </w:pPr>
      <w:r>
        <w:rPr>
          <w:b/>
          <w:bCs/>
          <w:color w:val="auto"/>
          <w:szCs w:val="21"/>
          <w:highlight w:val="none"/>
        </w:rPr>
        <w:br w:type="page" w:clear="all"/>
      </w:r>
      <w:bookmarkEnd w:id="5"/>
      <w:bookmarkEnd w:id="33"/>
      <w:bookmarkEnd w:id="34"/>
      <w:bookmarkStart w:id="54" w:name="_Toc30743"/>
      <w:r>
        <w:rPr>
          <w:rFonts w:hint="eastAsia" w:hAnsi="宋体" w:cs="宋体"/>
          <w:b/>
          <w:color w:val="auto"/>
          <w:szCs w:val="21"/>
          <w:highlight w:val="none"/>
        </w:rPr>
        <w:t>格式16：</w:t>
      </w:r>
      <w:r>
        <w:rPr>
          <w:rFonts w:hint="eastAsia" w:hAnsi="宋体" w:cs="宋体"/>
          <w:b/>
          <w:bCs/>
          <w:color w:val="auto"/>
          <w:szCs w:val="21"/>
          <w:highlight w:val="none"/>
          <w:lang w:val="zh-CN"/>
        </w:rPr>
        <w:t>承诺函</w:t>
      </w:r>
    </w:p>
    <w:p w14:paraId="5250893C">
      <w:pPr>
        <w:pStyle w:val="21"/>
        <w:outlineLvl w:val="1"/>
        <w:rPr>
          <w:rFonts w:hint="eastAsia" w:hAnsi="宋体" w:cs="宋体"/>
          <w:b/>
          <w:bCs/>
          <w:color w:val="auto"/>
          <w:szCs w:val="21"/>
          <w:highlight w:val="none"/>
          <w:lang w:val="zh-CN"/>
        </w:rPr>
      </w:pPr>
    </w:p>
    <w:p w14:paraId="76AD9C1C">
      <w:pPr>
        <w:pStyle w:val="21"/>
        <w:jc w:val="center"/>
        <w:outlineLvl w:val="1"/>
        <w:rPr>
          <w:b/>
          <w:color w:val="auto"/>
          <w:sz w:val="44"/>
          <w:szCs w:val="44"/>
          <w:highlight w:val="none"/>
          <w:lang w:val="zh-CN"/>
        </w:rPr>
      </w:pPr>
      <w:r>
        <w:rPr>
          <w:b/>
          <w:bCs/>
          <w:color w:val="auto"/>
          <w:szCs w:val="21"/>
          <w:highlight w:val="none"/>
        </w:rPr>
        <w:br w:type="page" w:clear="all"/>
      </w:r>
      <w:r>
        <w:rPr>
          <w:b/>
          <w:color w:val="auto"/>
          <w:sz w:val="36"/>
          <w:szCs w:val="36"/>
          <w:highlight w:val="none"/>
          <w:lang w:val="zh-CN"/>
        </w:rPr>
        <w:t>第</w:t>
      </w:r>
      <w:r>
        <w:rPr>
          <w:b/>
          <w:color w:val="auto"/>
          <w:sz w:val="36"/>
          <w:szCs w:val="36"/>
          <w:highlight w:val="none"/>
        </w:rPr>
        <w:t>四</w:t>
      </w:r>
      <w:r>
        <w:rPr>
          <w:b/>
          <w:color w:val="auto"/>
          <w:sz w:val="36"/>
          <w:szCs w:val="36"/>
          <w:highlight w:val="none"/>
          <w:lang w:val="zh-CN"/>
        </w:rPr>
        <w:t xml:space="preserve">章 </w:t>
      </w:r>
      <w:r>
        <w:rPr>
          <w:b/>
          <w:color w:val="auto"/>
          <w:sz w:val="36"/>
          <w:szCs w:val="36"/>
          <w:highlight w:val="none"/>
        </w:rPr>
        <w:t>采购需求</w:t>
      </w:r>
      <w:bookmarkEnd w:id="54"/>
    </w:p>
    <w:p w14:paraId="7D4ACBCA">
      <w:pPr>
        <w:pStyle w:val="21"/>
        <w:numPr>
          <w:ilvl w:val="0"/>
          <w:numId w:val="5"/>
        </w:numPr>
        <w:spacing w:line="440" w:lineRule="exact"/>
        <w:ind w:firstLine="422"/>
        <w:outlineLvl w:val="1"/>
        <w:rPr>
          <w:rFonts w:ascii="Times New Roman" w:hAnsi="Times New Roman"/>
          <w:color w:val="auto"/>
          <w:szCs w:val="21"/>
          <w:highlight w:val="none"/>
        </w:rPr>
      </w:pPr>
      <w:bookmarkStart w:id="55" w:name="_Toc17214"/>
      <w:bookmarkStart w:id="56" w:name="_Toc12134"/>
      <w:bookmarkStart w:id="57" w:name="_Toc457140875"/>
      <w:bookmarkStart w:id="58" w:name="_Toc6806"/>
      <w:bookmarkStart w:id="59" w:name="_Toc21253"/>
      <w:bookmarkStart w:id="60" w:name="_Toc7702"/>
      <w:bookmarkStart w:id="61" w:name="_Toc61514585"/>
      <w:r>
        <w:rPr>
          <w:rFonts w:ascii="Times New Roman" w:hAnsi="Times New Roman"/>
          <w:b/>
          <w:color w:val="auto"/>
          <w:szCs w:val="21"/>
          <w:highlight w:val="none"/>
        </w:rPr>
        <w:t>项目编号：</w:t>
      </w:r>
      <w:bookmarkEnd w:id="55"/>
      <w:bookmarkEnd w:id="56"/>
      <w:r>
        <w:rPr>
          <w:rFonts w:hint="eastAsia" w:hAnsi="宋体" w:cs="宋体"/>
          <w:color w:val="auto"/>
          <w:szCs w:val="21"/>
          <w:highlight w:val="none"/>
        </w:rPr>
        <w:t xml:space="preserve">JSZC-320509-DLZB-G2025-0046   </w:t>
      </w:r>
      <w:r>
        <w:rPr>
          <w:rFonts w:hint="eastAsia" w:ascii="Times New Roman" w:hAnsi="Times New Roman"/>
          <w:color w:val="auto"/>
          <w:szCs w:val="21"/>
          <w:highlight w:val="none"/>
        </w:rPr>
        <w:t xml:space="preserve">    </w:t>
      </w:r>
    </w:p>
    <w:p w14:paraId="3978FAB2">
      <w:pPr>
        <w:pStyle w:val="21"/>
        <w:numPr>
          <w:ilvl w:val="0"/>
          <w:numId w:val="5"/>
        </w:numPr>
        <w:spacing w:line="440" w:lineRule="exact"/>
        <w:ind w:firstLine="422"/>
        <w:outlineLvl w:val="1"/>
        <w:rPr>
          <w:rFonts w:ascii="Times New Roman" w:hAnsi="Times New Roman"/>
          <w:color w:val="auto"/>
          <w:szCs w:val="21"/>
          <w:highlight w:val="none"/>
        </w:rPr>
      </w:pPr>
      <w:bookmarkStart w:id="62" w:name="_Toc13980"/>
      <w:bookmarkStart w:id="63" w:name="_Toc5265"/>
      <w:r>
        <w:rPr>
          <w:rFonts w:ascii="Times New Roman" w:hAnsi="Times New Roman"/>
          <w:b/>
          <w:color w:val="auto"/>
          <w:szCs w:val="21"/>
          <w:highlight w:val="none"/>
        </w:rPr>
        <w:t>项目名称：</w:t>
      </w:r>
      <w:bookmarkEnd w:id="62"/>
      <w:bookmarkEnd w:id="63"/>
      <w:r>
        <w:rPr>
          <w:rFonts w:hint="eastAsia" w:hAnsi="宋体" w:cs="宋体"/>
          <w:color w:val="auto"/>
          <w:szCs w:val="21"/>
          <w:highlight w:val="none"/>
        </w:rPr>
        <w:t xml:space="preserve">苏州市吴江区精神康复医院医疗辅助服务   </w:t>
      </w:r>
      <w:r>
        <w:rPr>
          <w:rFonts w:hint="eastAsia"/>
          <w:color w:val="auto"/>
          <w:highlight w:val="none"/>
        </w:rPr>
        <w:t xml:space="preserve">    </w:t>
      </w:r>
    </w:p>
    <w:p w14:paraId="7136514F">
      <w:pPr>
        <w:pStyle w:val="21"/>
        <w:numPr>
          <w:ilvl w:val="0"/>
          <w:numId w:val="5"/>
        </w:numPr>
        <w:spacing w:line="440" w:lineRule="exact"/>
        <w:ind w:firstLine="422"/>
        <w:outlineLvl w:val="1"/>
        <w:rPr>
          <w:rFonts w:ascii="Times New Roman" w:hAnsi="Times New Roman"/>
          <w:bCs/>
          <w:color w:val="auto"/>
          <w:szCs w:val="21"/>
          <w:highlight w:val="none"/>
        </w:rPr>
      </w:pPr>
      <w:bookmarkStart w:id="64" w:name="_Toc22839"/>
      <w:bookmarkStart w:id="65" w:name="_Toc10355"/>
      <w:r>
        <w:rPr>
          <w:rFonts w:ascii="Times New Roman" w:hAnsi="Times New Roman"/>
          <w:b/>
          <w:color w:val="auto"/>
          <w:szCs w:val="21"/>
          <w:highlight w:val="none"/>
        </w:rPr>
        <w:t>项目预算：</w:t>
      </w:r>
      <w:bookmarkEnd w:id="64"/>
      <w:bookmarkEnd w:id="65"/>
      <w:r>
        <w:rPr>
          <w:rFonts w:hint="eastAsia" w:hAnsi="宋体" w:cs="宋体"/>
          <w:color w:val="auto"/>
          <w:szCs w:val="21"/>
          <w:highlight w:val="none"/>
        </w:rPr>
        <w:t>人民币伍佰玖拾贰万元整（小写：5920000.00元）</w:t>
      </w:r>
    </w:p>
    <w:p w14:paraId="4BDA2AF3">
      <w:pPr>
        <w:pStyle w:val="21"/>
        <w:numPr>
          <w:ilvl w:val="0"/>
          <w:numId w:val="5"/>
        </w:numPr>
        <w:spacing w:line="440" w:lineRule="exact"/>
        <w:ind w:firstLine="422"/>
        <w:outlineLvl w:val="1"/>
        <w:rPr>
          <w:rFonts w:ascii="Times New Roman" w:hAnsi="Times New Roman"/>
          <w:bCs/>
          <w:color w:val="auto"/>
          <w:szCs w:val="21"/>
          <w:highlight w:val="none"/>
        </w:rPr>
      </w:pPr>
      <w:r>
        <w:rPr>
          <w:rFonts w:hint="eastAsia" w:ascii="Times New Roman" w:hAnsi="Times New Roman"/>
          <w:b/>
          <w:color w:val="auto"/>
          <w:szCs w:val="21"/>
          <w:highlight w:val="none"/>
        </w:rPr>
        <w:t>最高限价：</w:t>
      </w:r>
      <w:r>
        <w:rPr>
          <w:rFonts w:hint="eastAsia" w:hAnsi="宋体" w:cs="宋体"/>
          <w:color w:val="auto"/>
          <w:szCs w:val="21"/>
          <w:highlight w:val="none"/>
        </w:rPr>
        <w:t>人民币伍佰玖拾贰万元整（小写：5920000.00元）</w:t>
      </w:r>
      <w:r>
        <w:rPr>
          <w:rFonts w:hint="eastAsia"/>
          <w:color w:val="auto"/>
          <w:szCs w:val="21"/>
          <w:highlight w:val="none"/>
        </w:rPr>
        <w:t xml:space="preserve">  </w:t>
      </w:r>
    </w:p>
    <w:p w14:paraId="0BAE91CF">
      <w:pPr>
        <w:pStyle w:val="21"/>
        <w:numPr>
          <w:ilvl w:val="0"/>
          <w:numId w:val="5"/>
        </w:numPr>
        <w:spacing w:line="440" w:lineRule="exact"/>
        <w:ind w:firstLine="422"/>
        <w:outlineLvl w:val="1"/>
        <w:rPr>
          <w:rFonts w:ascii="Times New Roman" w:hAnsi="Times New Roman"/>
          <w:bCs/>
          <w:color w:val="auto"/>
          <w:szCs w:val="21"/>
          <w:highlight w:val="none"/>
        </w:rPr>
      </w:pPr>
      <w:r>
        <w:rPr>
          <w:rFonts w:hint="eastAsia"/>
          <w:b/>
          <w:bCs/>
          <w:color w:val="auto"/>
          <w:szCs w:val="21"/>
          <w:highlight w:val="none"/>
        </w:rPr>
        <w:t>采购标的所属行业：</w:t>
      </w:r>
      <w:r>
        <w:rPr>
          <w:rFonts w:hint="eastAsia"/>
          <w:color w:val="auto"/>
          <w:szCs w:val="21"/>
          <w:highlight w:val="none"/>
        </w:rPr>
        <w:t>租赁和商务服务业</w:t>
      </w:r>
    </w:p>
    <w:p w14:paraId="431C6A65">
      <w:pPr>
        <w:pStyle w:val="21"/>
        <w:numPr>
          <w:ilvl w:val="0"/>
          <w:numId w:val="5"/>
        </w:numPr>
        <w:spacing w:line="440" w:lineRule="exact"/>
        <w:ind w:firstLine="422"/>
        <w:outlineLvl w:val="1"/>
        <w:rPr>
          <w:rFonts w:hint="eastAsia" w:hAnsi="宋体"/>
          <w:b/>
          <w:color w:val="auto"/>
          <w:highlight w:val="none"/>
        </w:rPr>
      </w:pPr>
      <w:r>
        <w:rPr>
          <w:rFonts w:hint="eastAsia" w:hAnsi="宋体"/>
          <w:b/>
          <w:color w:val="auto"/>
          <w:highlight w:val="none"/>
        </w:rPr>
        <w:t>采购内容及要求：</w:t>
      </w:r>
    </w:p>
    <w:p w14:paraId="342A875F">
      <w:pPr>
        <w:spacing w:line="360" w:lineRule="auto"/>
        <w:ind w:right="-161" w:firstLine="420"/>
        <w:rPr>
          <w:rFonts w:hint="eastAsia" w:ascii="宋体" w:hAnsi="宋体" w:cs="宋体"/>
          <w:color w:val="auto"/>
          <w:highlight w:val="none"/>
        </w:rPr>
      </w:pPr>
      <w:r>
        <w:rPr>
          <w:rFonts w:hint="eastAsia" w:ascii="宋体" w:hAnsi="宋体" w:cs="宋体"/>
          <w:color w:val="auto"/>
          <w:highlight w:val="none"/>
        </w:rPr>
        <w:t>（一）项目概述：全年365天不间断提供服务，共计两年，包括处理各项突发事件及紧急任务；负责对招标人病区内病员的护理服务、医院食堂及医院的环境消杀服务。</w:t>
      </w:r>
    </w:p>
    <w:p w14:paraId="5E9829D1">
      <w:pPr>
        <w:spacing w:line="360" w:lineRule="auto"/>
        <w:ind w:right="-161" w:firstLine="420"/>
        <w:rPr>
          <w:rFonts w:hint="eastAsia" w:ascii="宋体" w:hAnsi="宋体" w:cs="宋体"/>
          <w:color w:val="auto"/>
          <w:highlight w:val="none"/>
        </w:rPr>
      </w:pPr>
      <w:r>
        <w:rPr>
          <w:rFonts w:hint="eastAsia" w:ascii="宋体" w:hAnsi="宋体" w:cs="宋体"/>
          <w:color w:val="auto"/>
          <w:highlight w:val="none"/>
        </w:rPr>
        <w:t>本项目所需的护工是为精神康复病人提供服务的，由于病人存在一定的不可确定性和特殊性，请各投标人慎重考虑。</w:t>
      </w:r>
    </w:p>
    <w:p w14:paraId="0E891CC2">
      <w:pPr>
        <w:spacing w:line="360" w:lineRule="auto"/>
        <w:ind w:right="-161" w:firstLine="420"/>
        <w:rPr>
          <w:rFonts w:hint="eastAsia" w:ascii="宋体" w:hAnsi="宋体" w:cs="宋体"/>
          <w:color w:val="auto"/>
          <w:highlight w:val="none"/>
        </w:rPr>
      </w:pPr>
      <w:r>
        <w:rPr>
          <w:rFonts w:hint="eastAsia" w:ascii="宋体" w:hAnsi="宋体" w:cs="宋体"/>
          <w:color w:val="auto"/>
          <w:highlight w:val="none"/>
        </w:rPr>
        <w:t>合同履行期限：两年（具体以合同起止时间为准）</w:t>
      </w:r>
    </w:p>
    <w:p w14:paraId="3D20EC2F">
      <w:pPr>
        <w:pStyle w:val="34"/>
        <w:numPr>
          <w:ilvl w:val="0"/>
          <w:numId w:val="6"/>
        </w:numPr>
        <w:spacing w:line="40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岗位人员明细表：</w:t>
      </w:r>
    </w:p>
    <w:tbl>
      <w:tblPr>
        <w:tblStyle w:val="43"/>
        <w:tblW w:w="8823" w:type="dxa"/>
        <w:tblInd w:w="93" w:type="dxa"/>
        <w:tblLayout w:type="autofit"/>
        <w:tblCellMar>
          <w:top w:w="0" w:type="dxa"/>
          <w:left w:w="108" w:type="dxa"/>
          <w:bottom w:w="0" w:type="dxa"/>
          <w:right w:w="108" w:type="dxa"/>
        </w:tblCellMar>
      </w:tblPr>
      <w:tblGrid>
        <w:gridCol w:w="573"/>
        <w:gridCol w:w="1125"/>
        <w:gridCol w:w="1110"/>
        <w:gridCol w:w="1410"/>
        <w:gridCol w:w="960"/>
        <w:gridCol w:w="1350"/>
        <w:gridCol w:w="2295"/>
      </w:tblGrid>
      <w:tr w14:paraId="01CBB073">
        <w:tblPrEx>
          <w:tblCellMar>
            <w:top w:w="0" w:type="dxa"/>
            <w:left w:w="108" w:type="dxa"/>
            <w:bottom w:w="0" w:type="dxa"/>
            <w:right w:w="108" w:type="dxa"/>
          </w:tblCellMar>
        </w:tblPrEx>
        <w:trPr>
          <w:trHeight w:val="1180" w:hRule="atLeast"/>
        </w:trPr>
        <w:tc>
          <w:tcPr>
            <w:tcW w:w="573" w:type="dxa"/>
            <w:tcBorders>
              <w:top w:val="single" w:color="000000" w:sz="4" w:space="0"/>
              <w:left w:val="single" w:color="000000" w:sz="4" w:space="0"/>
              <w:bottom w:val="single" w:color="000000" w:sz="4" w:space="0"/>
              <w:right w:val="single" w:color="000000" w:sz="4" w:space="0"/>
            </w:tcBorders>
            <w:vAlign w:val="center"/>
          </w:tcPr>
          <w:p w14:paraId="33119946">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序号</w:t>
            </w:r>
          </w:p>
        </w:tc>
        <w:tc>
          <w:tcPr>
            <w:tcW w:w="1125" w:type="dxa"/>
            <w:tcBorders>
              <w:top w:val="single" w:color="000000" w:sz="4" w:space="0"/>
              <w:left w:val="single" w:color="000000" w:sz="4" w:space="0"/>
              <w:bottom w:val="single" w:color="000000" w:sz="4" w:space="0"/>
              <w:right w:val="single" w:color="000000" w:sz="4" w:space="0"/>
            </w:tcBorders>
            <w:vAlign w:val="center"/>
          </w:tcPr>
          <w:p w14:paraId="4531CFDF">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岗位</w:t>
            </w:r>
          </w:p>
        </w:tc>
        <w:tc>
          <w:tcPr>
            <w:tcW w:w="1110" w:type="dxa"/>
            <w:tcBorders>
              <w:top w:val="single" w:color="000000" w:sz="4" w:space="0"/>
              <w:left w:val="single" w:color="000000" w:sz="4" w:space="0"/>
              <w:bottom w:val="single" w:color="000000" w:sz="4" w:space="0"/>
              <w:right w:val="single" w:color="000000" w:sz="4" w:space="0"/>
            </w:tcBorders>
            <w:vAlign w:val="center"/>
          </w:tcPr>
          <w:p w14:paraId="230075C1">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设置人数（人）</w:t>
            </w:r>
          </w:p>
        </w:tc>
        <w:tc>
          <w:tcPr>
            <w:tcW w:w="1410" w:type="dxa"/>
            <w:tcBorders>
              <w:top w:val="single" w:color="000000" w:sz="4" w:space="0"/>
              <w:left w:val="single" w:color="000000" w:sz="4" w:space="0"/>
              <w:bottom w:val="single" w:color="000000" w:sz="4" w:space="0"/>
              <w:right w:val="single" w:color="000000" w:sz="4" w:space="0"/>
            </w:tcBorders>
            <w:vAlign w:val="center"/>
          </w:tcPr>
          <w:p w14:paraId="63B23B7D">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具体岗位</w:t>
            </w:r>
          </w:p>
        </w:tc>
        <w:tc>
          <w:tcPr>
            <w:tcW w:w="960" w:type="dxa"/>
            <w:tcBorders>
              <w:top w:val="single" w:color="000000" w:sz="4" w:space="0"/>
              <w:left w:val="single" w:color="000000" w:sz="4" w:space="0"/>
              <w:bottom w:val="single" w:color="000000" w:sz="4" w:space="0"/>
              <w:right w:val="single" w:color="000000" w:sz="4" w:space="0"/>
            </w:tcBorders>
            <w:vAlign w:val="center"/>
          </w:tcPr>
          <w:p w14:paraId="47A10419">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人数（人）</w:t>
            </w:r>
          </w:p>
        </w:tc>
        <w:tc>
          <w:tcPr>
            <w:tcW w:w="1350" w:type="dxa"/>
            <w:tcBorders>
              <w:top w:val="single" w:color="000000" w:sz="4" w:space="0"/>
              <w:left w:val="single" w:color="000000" w:sz="4" w:space="0"/>
              <w:bottom w:val="single" w:color="000000" w:sz="4" w:space="0"/>
              <w:right w:val="single" w:color="000000" w:sz="4" w:space="0"/>
            </w:tcBorders>
            <w:vAlign w:val="center"/>
          </w:tcPr>
          <w:p w14:paraId="07271D2F">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周工作时间（天/岗）</w:t>
            </w:r>
          </w:p>
        </w:tc>
        <w:tc>
          <w:tcPr>
            <w:tcW w:w="2295" w:type="dxa"/>
            <w:tcBorders>
              <w:top w:val="single" w:color="000000" w:sz="4" w:space="0"/>
              <w:left w:val="single" w:color="000000" w:sz="4" w:space="0"/>
              <w:bottom w:val="single" w:color="000000" w:sz="4" w:space="0"/>
              <w:right w:val="single" w:color="000000" w:sz="4" w:space="0"/>
            </w:tcBorders>
            <w:vAlign w:val="center"/>
          </w:tcPr>
          <w:p w14:paraId="02974F59">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备注</w:t>
            </w:r>
          </w:p>
        </w:tc>
      </w:tr>
      <w:tr w14:paraId="3B371F1B">
        <w:tblPrEx>
          <w:tblCellMar>
            <w:top w:w="0" w:type="dxa"/>
            <w:left w:w="108" w:type="dxa"/>
            <w:bottom w:w="0" w:type="dxa"/>
            <w:right w:w="108" w:type="dxa"/>
          </w:tblCellMar>
        </w:tblPrEx>
        <w:trPr>
          <w:trHeight w:val="660" w:hRule="atLeast"/>
        </w:trPr>
        <w:tc>
          <w:tcPr>
            <w:tcW w:w="573" w:type="dxa"/>
            <w:vMerge w:val="restart"/>
            <w:tcBorders>
              <w:top w:val="single" w:color="000000" w:sz="4" w:space="0"/>
              <w:left w:val="single" w:color="000000" w:sz="4" w:space="0"/>
              <w:bottom w:val="single" w:color="000000" w:sz="4" w:space="0"/>
              <w:right w:val="single" w:color="000000" w:sz="4" w:space="0"/>
            </w:tcBorders>
            <w:vAlign w:val="center"/>
          </w:tcPr>
          <w:p w14:paraId="7E3CD835">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1</w:t>
            </w:r>
          </w:p>
        </w:tc>
        <w:tc>
          <w:tcPr>
            <w:tcW w:w="1125" w:type="dxa"/>
            <w:vMerge w:val="restart"/>
            <w:tcBorders>
              <w:top w:val="single" w:color="000000" w:sz="4" w:space="0"/>
              <w:left w:val="single" w:color="000000" w:sz="4" w:space="0"/>
              <w:bottom w:val="single" w:color="000000" w:sz="4" w:space="0"/>
              <w:right w:val="single" w:color="000000" w:sz="4" w:space="0"/>
            </w:tcBorders>
            <w:vAlign w:val="center"/>
          </w:tcPr>
          <w:p w14:paraId="7F3F7570">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办公室</w:t>
            </w:r>
          </w:p>
        </w:tc>
        <w:tc>
          <w:tcPr>
            <w:tcW w:w="1110" w:type="dxa"/>
            <w:vMerge w:val="restart"/>
            <w:tcBorders>
              <w:top w:val="single" w:color="000000" w:sz="4" w:space="0"/>
              <w:left w:val="single" w:color="000000" w:sz="4" w:space="0"/>
              <w:bottom w:val="single" w:color="000000" w:sz="4" w:space="0"/>
              <w:right w:val="single" w:color="000000" w:sz="4" w:space="0"/>
            </w:tcBorders>
            <w:vAlign w:val="center"/>
          </w:tcPr>
          <w:p w14:paraId="40893C8E">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3</w:t>
            </w:r>
          </w:p>
        </w:tc>
        <w:tc>
          <w:tcPr>
            <w:tcW w:w="1410" w:type="dxa"/>
            <w:tcBorders>
              <w:top w:val="single" w:color="000000" w:sz="4" w:space="0"/>
              <w:left w:val="single" w:color="000000" w:sz="4" w:space="0"/>
              <w:bottom w:val="single" w:color="000000" w:sz="4" w:space="0"/>
              <w:right w:val="single" w:color="000000" w:sz="4" w:space="0"/>
            </w:tcBorders>
            <w:vAlign w:val="center"/>
          </w:tcPr>
          <w:p w14:paraId="6BE4D898">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项目经理</w:t>
            </w:r>
          </w:p>
        </w:tc>
        <w:tc>
          <w:tcPr>
            <w:tcW w:w="960" w:type="dxa"/>
            <w:tcBorders>
              <w:top w:val="single" w:color="000000" w:sz="4" w:space="0"/>
              <w:left w:val="single" w:color="000000" w:sz="4" w:space="0"/>
              <w:bottom w:val="single" w:color="000000" w:sz="4" w:space="0"/>
              <w:right w:val="single" w:color="000000" w:sz="4" w:space="0"/>
            </w:tcBorders>
            <w:vAlign w:val="center"/>
          </w:tcPr>
          <w:p w14:paraId="45562439">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1</w:t>
            </w:r>
          </w:p>
        </w:tc>
        <w:tc>
          <w:tcPr>
            <w:tcW w:w="1350" w:type="dxa"/>
            <w:tcBorders>
              <w:top w:val="single" w:color="000000" w:sz="4" w:space="0"/>
              <w:left w:val="single" w:color="000000" w:sz="4" w:space="0"/>
              <w:bottom w:val="single" w:color="000000" w:sz="4" w:space="0"/>
              <w:right w:val="single" w:color="000000" w:sz="4" w:space="0"/>
            </w:tcBorders>
            <w:vAlign w:val="center"/>
          </w:tcPr>
          <w:p w14:paraId="14B872DB">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5</w:t>
            </w:r>
          </w:p>
        </w:tc>
        <w:tc>
          <w:tcPr>
            <w:tcW w:w="2295" w:type="dxa"/>
            <w:tcBorders>
              <w:top w:val="single" w:color="000000" w:sz="4" w:space="0"/>
              <w:left w:val="single" w:color="000000" w:sz="4" w:space="0"/>
              <w:bottom w:val="single" w:color="000000" w:sz="4" w:space="0"/>
              <w:right w:val="single" w:color="000000" w:sz="4" w:space="0"/>
            </w:tcBorders>
            <w:vAlign w:val="center"/>
          </w:tcPr>
          <w:p w14:paraId="031AEE5D">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工作日白班8小时</w:t>
            </w:r>
          </w:p>
        </w:tc>
      </w:tr>
      <w:tr w14:paraId="02C40D1B">
        <w:tblPrEx>
          <w:tblCellMar>
            <w:top w:w="0" w:type="dxa"/>
            <w:left w:w="108" w:type="dxa"/>
            <w:bottom w:w="0" w:type="dxa"/>
            <w:right w:w="108" w:type="dxa"/>
          </w:tblCellMar>
        </w:tblPrEx>
        <w:trPr>
          <w:trHeight w:val="660" w:hRule="atLeast"/>
        </w:trPr>
        <w:tc>
          <w:tcPr>
            <w:tcW w:w="573" w:type="dxa"/>
            <w:vMerge w:val="continue"/>
            <w:tcBorders>
              <w:top w:val="single" w:color="000000" w:sz="4" w:space="0"/>
              <w:left w:val="single" w:color="000000" w:sz="4" w:space="0"/>
              <w:bottom w:val="single" w:color="000000" w:sz="4" w:space="0"/>
              <w:right w:val="single" w:color="000000" w:sz="4" w:space="0"/>
            </w:tcBorders>
            <w:vAlign w:val="center"/>
          </w:tcPr>
          <w:p w14:paraId="4CB126ED">
            <w:pPr>
              <w:jc w:val="center"/>
              <w:rPr>
                <w:rFonts w:hint="eastAsia" w:ascii="宋体" w:hAnsi="宋体" w:cs="宋体"/>
                <w:color w:val="auto"/>
                <w:szCs w:val="21"/>
                <w:highlight w:val="none"/>
              </w:rPr>
            </w:pPr>
          </w:p>
        </w:tc>
        <w:tc>
          <w:tcPr>
            <w:tcW w:w="1125" w:type="dxa"/>
            <w:vMerge w:val="continue"/>
            <w:tcBorders>
              <w:top w:val="single" w:color="000000" w:sz="4" w:space="0"/>
              <w:left w:val="single" w:color="000000" w:sz="4" w:space="0"/>
              <w:bottom w:val="single" w:color="000000" w:sz="4" w:space="0"/>
              <w:right w:val="single" w:color="000000" w:sz="4" w:space="0"/>
            </w:tcBorders>
            <w:vAlign w:val="center"/>
          </w:tcPr>
          <w:p w14:paraId="432F33F4">
            <w:pPr>
              <w:jc w:val="center"/>
              <w:rPr>
                <w:rFonts w:hint="eastAsia" w:ascii="宋体" w:hAnsi="宋体" w:cs="宋体"/>
                <w:color w:val="auto"/>
                <w:szCs w:val="21"/>
                <w:highlight w:val="none"/>
              </w:rPr>
            </w:pPr>
          </w:p>
        </w:tc>
        <w:tc>
          <w:tcPr>
            <w:tcW w:w="1110" w:type="dxa"/>
            <w:vMerge w:val="continue"/>
            <w:tcBorders>
              <w:top w:val="single" w:color="000000" w:sz="4" w:space="0"/>
              <w:left w:val="single" w:color="000000" w:sz="4" w:space="0"/>
              <w:bottom w:val="single" w:color="000000" w:sz="4" w:space="0"/>
              <w:right w:val="single" w:color="000000" w:sz="4" w:space="0"/>
            </w:tcBorders>
            <w:vAlign w:val="center"/>
          </w:tcPr>
          <w:p w14:paraId="04E8FA07">
            <w:pPr>
              <w:jc w:val="center"/>
              <w:rPr>
                <w:rFonts w:hint="eastAsia" w:ascii="宋体" w:hAnsi="宋体" w:cs="宋体"/>
                <w:color w:val="auto"/>
                <w:szCs w:val="21"/>
                <w:highlight w:val="none"/>
              </w:rPr>
            </w:pPr>
          </w:p>
        </w:tc>
        <w:tc>
          <w:tcPr>
            <w:tcW w:w="1410" w:type="dxa"/>
            <w:tcBorders>
              <w:top w:val="single" w:color="000000" w:sz="4" w:space="0"/>
              <w:left w:val="single" w:color="000000" w:sz="4" w:space="0"/>
              <w:bottom w:val="single" w:color="000000" w:sz="4" w:space="0"/>
              <w:right w:val="single" w:color="000000" w:sz="4" w:space="0"/>
            </w:tcBorders>
            <w:vAlign w:val="center"/>
          </w:tcPr>
          <w:p w14:paraId="78CC7E9C">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病区主管</w:t>
            </w:r>
          </w:p>
        </w:tc>
        <w:tc>
          <w:tcPr>
            <w:tcW w:w="960" w:type="dxa"/>
            <w:tcBorders>
              <w:top w:val="single" w:color="000000" w:sz="4" w:space="0"/>
              <w:left w:val="single" w:color="000000" w:sz="4" w:space="0"/>
              <w:bottom w:val="single" w:color="000000" w:sz="4" w:space="0"/>
              <w:right w:val="single" w:color="000000" w:sz="4" w:space="0"/>
            </w:tcBorders>
            <w:vAlign w:val="center"/>
          </w:tcPr>
          <w:p w14:paraId="58221CFC">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1</w:t>
            </w:r>
          </w:p>
        </w:tc>
        <w:tc>
          <w:tcPr>
            <w:tcW w:w="1350" w:type="dxa"/>
            <w:tcBorders>
              <w:top w:val="single" w:color="000000" w:sz="4" w:space="0"/>
              <w:left w:val="single" w:color="000000" w:sz="4" w:space="0"/>
              <w:bottom w:val="single" w:color="000000" w:sz="4" w:space="0"/>
              <w:right w:val="single" w:color="000000" w:sz="4" w:space="0"/>
            </w:tcBorders>
            <w:vAlign w:val="center"/>
          </w:tcPr>
          <w:p w14:paraId="2FBEC232">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5</w:t>
            </w:r>
          </w:p>
        </w:tc>
        <w:tc>
          <w:tcPr>
            <w:tcW w:w="2295" w:type="dxa"/>
            <w:tcBorders>
              <w:top w:val="single" w:color="000000" w:sz="4" w:space="0"/>
              <w:left w:val="single" w:color="000000" w:sz="4" w:space="0"/>
              <w:bottom w:val="single" w:color="000000" w:sz="4" w:space="0"/>
              <w:right w:val="single" w:color="000000" w:sz="4" w:space="0"/>
            </w:tcBorders>
            <w:vAlign w:val="center"/>
          </w:tcPr>
          <w:p w14:paraId="442CB90D">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工作日白班8小时</w:t>
            </w:r>
          </w:p>
        </w:tc>
      </w:tr>
      <w:tr w14:paraId="0235B922">
        <w:tblPrEx>
          <w:tblCellMar>
            <w:top w:w="0" w:type="dxa"/>
            <w:left w:w="108" w:type="dxa"/>
            <w:bottom w:w="0" w:type="dxa"/>
            <w:right w:w="108" w:type="dxa"/>
          </w:tblCellMar>
        </w:tblPrEx>
        <w:trPr>
          <w:trHeight w:val="660" w:hRule="atLeast"/>
        </w:trPr>
        <w:tc>
          <w:tcPr>
            <w:tcW w:w="573" w:type="dxa"/>
            <w:vMerge w:val="continue"/>
            <w:tcBorders>
              <w:top w:val="single" w:color="000000" w:sz="4" w:space="0"/>
              <w:left w:val="single" w:color="000000" w:sz="4" w:space="0"/>
              <w:bottom w:val="single" w:color="000000" w:sz="4" w:space="0"/>
              <w:right w:val="single" w:color="000000" w:sz="4" w:space="0"/>
            </w:tcBorders>
            <w:vAlign w:val="center"/>
          </w:tcPr>
          <w:p w14:paraId="36376F12">
            <w:pPr>
              <w:jc w:val="center"/>
              <w:rPr>
                <w:rFonts w:hint="eastAsia" w:ascii="宋体" w:hAnsi="宋体" w:cs="宋体"/>
                <w:color w:val="auto"/>
                <w:szCs w:val="21"/>
                <w:highlight w:val="none"/>
              </w:rPr>
            </w:pPr>
          </w:p>
        </w:tc>
        <w:tc>
          <w:tcPr>
            <w:tcW w:w="1125" w:type="dxa"/>
            <w:vMerge w:val="continue"/>
            <w:tcBorders>
              <w:top w:val="single" w:color="000000" w:sz="4" w:space="0"/>
              <w:left w:val="single" w:color="000000" w:sz="4" w:space="0"/>
              <w:bottom w:val="single" w:color="000000" w:sz="4" w:space="0"/>
              <w:right w:val="single" w:color="000000" w:sz="4" w:space="0"/>
            </w:tcBorders>
            <w:vAlign w:val="center"/>
          </w:tcPr>
          <w:p w14:paraId="07ACCA1B">
            <w:pPr>
              <w:jc w:val="center"/>
              <w:rPr>
                <w:rFonts w:hint="eastAsia" w:ascii="宋体" w:hAnsi="宋体" w:cs="宋体"/>
                <w:color w:val="auto"/>
                <w:szCs w:val="21"/>
                <w:highlight w:val="none"/>
              </w:rPr>
            </w:pPr>
          </w:p>
        </w:tc>
        <w:tc>
          <w:tcPr>
            <w:tcW w:w="1110" w:type="dxa"/>
            <w:vMerge w:val="continue"/>
            <w:tcBorders>
              <w:top w:val="single" w:color="000000" w:sz="4" w:space="0"/>
              <w:left w:val="single" w:color="000000" w:sz="4" w:space="0"/>
              <w:bottom w:val="single" w:color="000000" w:sz="4" w:space="0"/>
              <w:right w:val="single" w:color="000000" w:sz="4" w:space="0"/>
            </w:tcBorders>
            <w:vAlign w:val="center"/>
          </w:tcPr>
          <w:p w14:paraId="0AD219A5">
            <w:pPr>
              <w:jc w:val="center"/>
              <w:rPr>
                <w:rFonts w:hint="eastAsia" w:ascii="宋体" w:hAnsi="宋体" w:cs="宋体"/>
                <w:color w:val="auto"/>
                <w:szCs w:val="21"/>
                <w:highlight w:val="none"/>
              </w:rPr>
            </w:pPr>
          </w:p>
        </w:tc>
        <w:tc>
          <w:tcPr>
            <w:tcW w:w="1410" w:type="dxa"/>
            <w:tcBorders>
              <w:top w:val="single" w:color="000000" w:sz="4" w:space="0"/>
              <w:left w:val="single" w:color="000000" w:sz="4" w:space="0"/>
              <w:bottom w:val="single" w:color="000000" w:sz="4" w:space="0"/>
              <w:right w:val="single" w:color="000000" w:sz="4" w:space="0"/>
            </w:tcBorders>
            <w:vAlign w:val="center"/>
          </w:tcPr>
          <w:p w14:paraId="392E8C62">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文员</w:t>
            </w:r>
          </w:p>
        </w:tc>
        <w:tc>
          <w:tcPr>
            <w:tcW w:w="960" w:type="dxa"/>
            <w:tcBorders>
              <w:top w:val="single" w:color="000000" w:sz="4" w:space="0"/>
              <w:left w:val="single" w:color="000000" w:sz="4" w:space="0"/>
              <w:bottom w:val="single" w:color="000000" w:sz="4" w:space="0"/>
              <w:right w:val="single" w:color="000000" w:sz="4" w:space="0"/>
            </w:tcBorders>
            <w:vAlign w:val="center"/>
          </w:tcPr>
          <w:p w14:paraId="49CC6358">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1</w:t>
            </w:r>
          </w:p>
        </w:tc>
        <w:tc>
          <w:tcPr>
            <w:tcW w:w="1350" w:type="dxa"/>
            <w:tcBorders>
              <w:top w:val="single" w:color="000000" w:sz="4" w:space="0"/>
              <w:left w:val="single" w:color="000000" w:sz="4" w:space="0"/>
              <w:bottom w:val="single" w:color="000000" w:sz="4" w:space="0"/>
              <w:right w:val="single" w:color="000000" w:sz="4" w:space="0"/>
            </w:tcBorders>
            <w:vAlign w:val="center"/>
          </w:tcPr>
          <w:p w14:paraId="410BF558">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5</w:t>
            </w:r>
          </w:p>
        </w:tc>
        <w:tc>
          <w:tcPr>
            <w:tcW w:w="2295" w:type="dxa"/>
            <w:tcBorders>
              <w:top w:val="single" w:color="000000" w:sz="4" w:space="0"/>
              <w:left w:val="single" w:color="000000" w:sz="4" w:space="0"/>
              <w:bottom w:val="single" w:color="000000" w:sz="4" w:space="0"/>
              <w:right w:val="single" w:color="000000" w:sz="4" w:space="0"/>
            </w:tcBorders>
            <w:vAlign w:val="center"/>
          </w:tcPr>
          <w:p w14:paraId="02D00AA9">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工作日白班8小时</w:t>
            </w:r>
          </w:p>
        </w:tc>
      </w:tr>
      <w:tr w14:paraId="5EAE0FE9">
        <w:tblPrEx>
          <w:tblCellMar>
            <w:top w:w="0" w:type="dxa"/>
            <w:left w:w="108" w:type="dxa"/>
            <w:bottom w:w="0" w:type="dxa"/>
            <w:right w:w="108" w:type="dxa"/>
          </w:tblCellMar>
        </w:tblPrEx>
        <w:trPr>
          <w:trHeight w:val="660" w:hRule="atLeast"/>
        </w:trPr>
        <w:tc>
          <w:tcPr>
            <w:tcW w:w="573" w:type="dxa"/>
            <w:vMerge w:val="restart"/>
            <w:tcBorders>
              <w:top w:val="single" w:color="000000" w:sz="4" w:space="0"/>
              <w:left w:val="single" w:color="000000" w:sz="4" w:space="0"/>
              <w:bottom w:val="single" w:color="000000" w:sz="4" w:space="0"/>
              <w:right w:val="single" w:color="000000" w:sz="4" w:space="0"/>
            </w:tcBorders>
            <w:vAlign w:val="center"/>
          </w:tcPr>
          <w:p w14:paraId="620C089F">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2</w:t>
            </w:r>
          </w:p>
        </w:tc>
        <w:tc>
          <w:tcPr>
            <w:tcW w:w="1125" w:type="dxa"/>
            <w:vMerge w:val="restart"/>
            <w:tcBorders>
              <w:top w:val="single" w:color="000000" w:sz="4" w:space="0"/>
              <w:left w:val="single" w:color="000000" w:sz="4" w:space="0"/>
              <w:bottom w:val="single" w:color="000000" w:sz="4" w:space="0"/>
              <w:right w:val="single" w:color="000000" w:sz="4" w:space="0"/>
            </w:tcBorders>
            <w:vAlign w:val="center"/>
          </w:tcPr>
          <w:p w14:paraId="02B3A03D">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病区护工</w:t>
            </w:r>
          </w:p>
        </w:tc>
        <w:tc>
          <w:tcPr>
            <w:tcW w:w="1110" w:type="dxa"/>
            <w:vMerge w:val="restart"/>
            <w:tcBorders>
              <w:top w:val="single" w:color="000000" w:sz="4" w:space="0"/>
              <w:left w:val="single" w:color="000000" w:sz="4" w:space="0"/>
              <w:bottom w:val="single" w:color="000000" w:sz="4" w:space="0"/>
              <w:right w:val="single" w:color="000000" w:sz="4" w:space="0"/>
            </w:tcBorders>
            <w:vAlign w:val="center"/>
          </w:tcPr>
          <w:p w14:paraId="4017063F">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5</w:t>
            </w:r>
          </w:p>
        </w:tc>
        <w:tc>
          <w:tcPr>
            <w:tcW w:w="1410" w:type="dxa"/>
            <w:tcBorders>
              <w:top w:val="single" w:color="000000" w:sz="4" w:space="0"/>
              <w:left w:val="single" w:color="000000" w:sz="4" w:space="0"/>
              <w:bottom w:val="single" w:color="000000" w:sz="4" w:space="0"/>
              <w:right w:val="single" w:color="000000" w:sz="4" w:space="0"/>
            </w:tcBorders>
            <w:vAlign w:val="center"/>
          </w:tcPr>
          <w:p w14:paraId="4E5780AC">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二病区护工</w:t>
            </w:r>
          </w:p>
        </w:tc>
        <w:tc>
          <w:tcPr>
            <w:tcW w:w="960" w:type="dxa"/>
            <w:tcBorders>
              <w:top w:val="single" w:color="000000" w:sz="4" w:space="0"/>
              <w:left w:val="single" w:color="000000" w:sz="4" w:space="0"/>
              <w:bottom w:val="single" w:color="000000" w:sz="4" w:space="0"/>
              <w:right w:val="single" w:color="000000" w:sz="4" w:space="0"/>
            </w:tcBorders>
            <w:vAlign w:val="center"/>
          </w:tcPr>
          <w:p w14:paraId="0DF0128A">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1</w:t>
            </w:r>
          </w:p>
        </w:tc>
        <w:tc>
          <w:tcPr>
            <w:tcW w:w="1350" w:type="dxa"/>
            <w:tcBorders>
              <w:top w:val="single" w:color="000000" w:sz="4" w:space="0"/>
              <w:left w:val="single" w:color="000000" w:sz="4" w:space="0"/>
              <w:bottom w:val="single" w:color="000000" w:sz="4" w:space="0"/>
              <w:right w:val="single" w:color="000000" w:sz="4" w:space="0"/>
            </w:tcBorders>
            <w:vAlign w:val="center"/>
          </w:tcPr>
          <w:p w14:paraId="4E03F99F">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7</w:t>
            </w:r>
          </w:p>
        </w:tc>
        <w:tc>
          <w:tcPr>
            <w:tcW w:w="2295" w:type="dxa"/>
            <w:tcBorders>
              <w:top w:val="single" w:color="000000" w:sz="4" w:space="0"/>
              <w:left w:val="single" w:color="000000" w:sz="4" w:space="0"/>
              <w:bottom w:val="single" w:color="000000" w:sz="4" w:space="0"/>
              <w:right w:val="single" w:color="000000" w:sz="4" w:space="0"/>
            </w:tcBorders>
            <w:vAlign w:val="center"/>
          </w:tcPr>
          <w:p w14:paraId="098C192A">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白班8小时</w:t>
            </w:r>
          </w:p>
        </w:tc>
      </w:tr>
      <w:tr w14:paraId="200605F9">
        <w:tblPrEx>
          <w:tblCellMar>
            <w:top w:w="0" w:type="dxa"/>
            <w:left w:w="108" w:type="dxa"/>
            <w:bottom w:w="0" w:type="dxa"/>
            <w:right w:w="108" w:type="dxa"/>
          </w:tblCellMar>
        </w:tblPrEx>
        <w:trPr>
          <w:trHeight w:val="660" w:hRule="atLeast"/>
        </w:trPr>
        <w:tc>
          <w:tcPr>
            <w:tcW w:w="573" w:type="dxa"/>
            <w:vMerge w:val="continue"/>
            <w:tcBorders>
              <w:top w:val="single" w:color="000000" w:sz="4" w:space="0"/>
              <w:left w:val="single" w:color="000000" w:sz="4" w:space="0"/>
              <w:bottom w:val="single" w:color="000000" w:sz="4" w:space="0"/>
              <w:right w:val="single" w:color="000000" w:sz="4" w:space="0"/>
            </w:tcBorders>
            <w:vAlign w:val="center"/>
          </w:tcPr>
          <w:p w14:paraId="56A54B90">
            <w:pPr>
              <w:jc w:val="center"/>
              <w:rPr>
                <w:rFonts w:hint="eastAsia" w:ascii="宋体" w:hAnsi="宋体" w:cs="宋体"/>
                <w:color w:val="auto"/>
                <w:szCs w:val="21"/>
                <w:highlight w:val="none"/>
              </w:rPr>
            </w:pPr>
          </w:p>
        </w:tc>
        <w:tc>
          <w:tcPr>
            <w:tcW w:w="1125" w:type="dxa"/>
            <w:vMerge w:val="continue"/>
            <w:tcBorders>
              <w:top w:val="single" w:color="000000" w:sz="4" w:space="0"/>
              <w:left w:val="single" w:color="000000" w:sz="4" w:space="0"/>
              <w:bottom w:val="single" w:color="000000" w:sz="4" w:space="0"/>
              <w:right w:val="single" w:color="000000" w:sz="4" w:space="0"/>
            </w:tcBorders>
            <w:vAlign w:val="center"/>
          </w:tcPr>
          <w:p w14:paraId="1E50BF10">
            <w:pPr>
              <w:jc w:val="center"/>
              <w:rPr>
                <w:rFonts w:hint="eastAsia" w:ascii="宋体" w:hAnsi="宋体" w:cs="宋体"/>
                <w:color w:val="auto"/>
                <w:szCs w:val="21"/>
                <w:highlight w:val="none"/>
              </w:rPr>
            </w:pPr>
          </w:p>
        </w:tc>
        <w:tc>
          <w:tcPr>
            <w:tcW w:w="1110" w:type="dxa"/>
            <w:vMerge w:val="continue"/>
            <w:tcBorders>
              <w:top w:val="single" w:color="000000" w:sz="4" w:space="0"/>
              <w:left w:val="single" w:color="000000" w:sz="4" w:space="0"/>
              <w:bottom w:val="single" w:color="000000" w:sz="4" w:space="0"/>
              <w:right w:val="single" w:color="000000" w:sz="4" w:space="0"/>
            </w:tcBorders>
            <w:vAlign w:val="center"/>
          </w:tcPr>
          <w:p w14:paraId="1ABE83EF">
            <w:pPr>
              <w:jc w:val="center"/>
              <w:rPr>
                <w:rFonts w:hint="eastAsia" w:ascii="宋体" w:hAnsi="宋体" w:cs="宋体"/>
                <w:color w:val="auto"/>
                <w:szCs w:val="21"/>
                <w:highlight w:val="none"/>
              </w:rPr>
            </w:pPr>
          </w:p>
        </w:tc>
        <w:tc>
          <w:tcPr>
            <w:tcW w:w="1410" w:type="dxa"/>
            <w:tcBorders>
              <w:top w:val="single" w:color="000000" w:sz="4" w:space="0"/>
              <w:left w:val="single" w:color="000000" w:sz="4" w:space="0"/>
              <w:bottom w:val="single" w:color="000000" w:sz="4" w:space="0"/>
              <w:right w:val="single" w:color="000000" w:sz="4" w:space="0"/>
            </w:tcBorders>
            <w:vAlign w:val="center"/>
          </w:tcPr>
          <w:p w14:paraId="19D8275E">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三病区护工</w:t>
            </w:r>
          </w:p>
        </w:tc>
        <w:tc>
          <w:tcPr>
            <w:tcW w:w="960" w:type="dxa"/>
            <w:tcBorders>
              <w:top w:val="single" w:color="000000" w:sz="4" w:space="0"/>
              <w:left w:val="single" w:color="000000" w:sz="4" w:space="0"/>
              <w:bottom w:val="single" w:color="000000" w:sz="4" w:space="0"/>
              <w:right w:val="single" w:color="000000" w:sz="4" w:space="0"/>
            </w:tcBorders>
            <w:vAlign w:val="center"/>
          </w:tcPr>
          <w:p w14:paraId="146AF5D3">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1</w:t>
            </w:r>
          </w:p>
        </w:tc>
        <w:tc>
          <w:tcPr>
            <w:tcW w:w="1350" w:type="dxa"/>
            <w:tcBorders>
              <w:top w:val="single" w:color="000000" w:sz="4" w:space="0"/>
              <w:left w:val="single" w:color="000000" w:sz="4" w:space="0"/>
              <w:bottom w:val="single" w:color="000000" w:sz="4" w:space="0"/>
              <w:right w:val="single" w:color="000000" w:sz="4" w:space="0"/>
            </w:tcBorders>
            <w:vAlign w:val="center"/>
          </w:tcPr>
          <w:p w14:paraId="66656DBA">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7</w:t>
            </w:r>
          </w:p>
        </w:tc>
        <w:tc>
          <w:tcPr>
            <w:tcW w:w="2295" w:type="dxa"/>
            <w:tcBorders>
              <w:top w:val="single" w:color="000000" w:sz="4" w:space="0"/>
              <w:left w:val="single" w:color="000000" w:sz="4" w:space="0"/>
              <w:bottom w:val="single" w:color="000000" w:sz="4" w:space="0"/>
              <w:right w:val="single" w:color="000000" w:sz="4" w:space="0"/>
            </w:tcBorders>
            <w:vAlign w:val="center"/>
          </w:tcPr>
          <w:p w14:paraId="5C2F5CBF">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白班8小时</w:t>
            </w:r>
          </w:p>
        </w:tc>
      </w:tr>
      <w:tr w14:paraId="58ECE34B">
        <w:tblPrEx>
          <w:tblCellMar>
            <w:top w:w="0" w:type="dxa"/>
            <w:left w:w="108" w:type="dxa"/>
            <w:bottom w:w="0" w:type="dxa"/>
            <w:right w:w="108" w:type="dxa"/>
          </w:tblCellMar>
        </w:tblPrEx>
        <w:trPr>
          <w:trHeight w:val="660" w:hRule="atLeast"/>
        </w:trPr>
        <w:tc>
          <w:tcPr>
            <w:tcW w:w="573" w:type="dxa"/>
            <w:vMerge w:val="continue"/>
            <w:tcBorders>
              <w:top w:val="single" w:color="000000" w:sz="4" w:space="0"/>
              <w:left w:val="single" w:color="000000" w:sz="4" w:space="0"/>
              <w:bottom w:val="single" w:color="000000" w:sz="4" w:space="0"/>
              <w:right w:val="single" w:color="000000" w:sz="4" w:space="0"/>
            </w:tcBorders>
            <w:vAlign w:val="center"/>
          </w:tcPr>
          <w:p w14:paraId="221FDB3B">
            <w:pPr>
              <w:jc w:val="center"/>
              <w:rPr>
                <w:rFonts w:hint="eastAsia" w:ascii="宋体" w:hAnsi="宋体" w:cs="宋体"/>
                <w:color w:val="auto"/>
                <w:szCs w:val="21"/>
                <w:highlight w:val="none"/>
              </w:rPr>
            </w:pPr>
          </w:p>
        </w:tc>
        <w:tc>
          <w:tcPr>
            <w:tcW w:w="1125" w:type="dxa"/>
            <w:vMerge w:val="continue"/>
            <w:tcBorders>
              <w:top w:val="single" w:color="000000" w:sz="4" w:space="0"/>
              <w:left w:val="single" w:color="000000" w:sz="4" w:space="0"/>
              <w:bottom w:val="single" w:color="000000" w:sz="4" w:space="0"/>
              <w:right w:val="single" w:color="000000" w:sz="4" w:space="0"/>
            </w:tcBorders>
            <w:vAlign w:val="center"/>
          </w:tcPr>
          <w:p w14:paraId="3B2A1BA2">
            <w:pPr>
              <w:jc w:val="center"/>
              <w:rPr>
                <w:rFonts w:hint="eastAsia" w:ascii="宋体" w:hAnsi="宋体" w:cs="宋体"/>
                <w:color w:val="auto"/>
                <w:szCs w:val="21"/>
                <w:highlight w:val="none"/>
              </w:rPr>
            </w:pPr>
          </w:p>
        </w:tc>
        <w:tc>
          <w:tcPr>
            <w:tcW w:w="1110" w:type="dxa"/>
            <w:vMerge w:val="continue"/>
            <w:tcBorders>
              <w:top w:val="single" w:color="000000" w:sz="4" w:space="0"/>
              <w:left w:val="single" w:color="000000" w:sz="4" w:space="0"/>
              <w:bottom w:val="single" w:color="000000" w:sz="4" w:space="0"/>
              <w:right w:val="single" w:color="000000" w:sz="4" w:space="0"/>
            </w:tcBorders>
            <w:vAlign w:val="center"/>
          </w:tcPr>
          <w:p w14:paraId="5972EE57">
            <w:pPr>
              <w:jc w:val="center"/>
              <w:rPr>
                <w:rFonts w:hint="eastAsia" w:ascii="宋体" w:hAnsi="宋体" w:cs="宋体"/>
                <w:color w:val="auto"/>
                <w:szCs w:val="21"/>
                <w:highlight w:val="none"/>
              </w:rPr>
            </w:pPr>
          </w:p>
        </w:tc>
        <w:tc>
          <w:tcPr>
            <w:tcW w:w="1410" w:type="dxa"/>
            <w:tcBorders>
              <w:top w:val="single" w:color="000000" w:sz="4" w:space="0"/>
              <w:left w:val="single" w:color="000000" w:sz="4" w:space="0"/>
              <w:bottom w:val="single" w:color="000000" w:sz="4" w:space="0"/>
              <w:right w:val="single" w:color="000000" w:sz="4" w:space="0"/>
            </w:tcBorders>
            <w:vAlign w:val="center"/>
          </w:tcPr>
          <w:p w14:paraId="292E6D4D">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四病区护工</w:t>
            </w:r>
          </w:p>
        </w:tc>
        <w:tc>
          <w:tcPr>
            <w:tcW w:w="960" w:type="dxa"/>
            <w:tcBorders>
              <w:top w:val="single" w:color="000000" w:sz="4" w:space="0"/>
              <w:left w:val="single" w:color="000000" w:sz="4" w:space="0"/>
              <w:bottom w:val="single" w:color="000000" w:sz="4" w:space="0"/>
              <w:right w:val="single" w:color="000000" w:sz="4" w:space="0"/>
            </w:tcBorders>
            <w:vAlign w:val="center"/>
          </w:tcPr>
          <w:p w14:paraId="7523F9D0">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1</w:t>
            </w:r>
          </w:p>
        </w:tc>
        <w:tc>
          <w:tcPr>
            <w:tcW w:w="1350" w:type="dxa"/>
            <w:tcBorders>
              <w:top w:val="single" w:color="000000" w:sz="4" w:space="0"/>
              <w:left w:val="single" w:color="000000" w:sz="4" w:space="0"/>
              <w:bottom w:val="single" w:color="000000" w:sz="4" w:space="0"/>
              <w:right w:val="single" w:color="000000" w:sz="4" w:space="0"/>
            </w:tcBorders>
            <w:vAlign w:val="center"/>
          </w:tcPr>
          <w:p w14:paraId="00338E69">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7</w:t>
            </w:r>
          </w:p>
        </w:tc>
        <w:tc>
          <w:tcPr>
            <w:tcW w:w="2295" w:type="dxa"/>
            <w:tcBorders>
              <w:top w:val="single" w:color="000000" w:sz="4" w:space="0"/>
              <w:left w:val="single" w:color="000000" w:sz="4" w:space="0"/>
              <w:bottom w:val="single" w:color="000000" w:sz="4" w:space="0"/>
              <w:right w:val="single" w:color="000000" w:sz="4" w:space="0"/>
            </w:tcBorders>
            <w:vAlign w:val="center"/>
          </w:tcPr>
          <w:p w14:paraId="54EB10B5">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白班8小时</w:t>
            </w:r>
          </w:p>
        </w:tc>
      </w:tr>
      <w:tr w14:paraId="19B80351">
        <w:tblPrEx>
          <w:tblCellMar>
            <w:top w:w="0" w:type="dxa"/>
            <w:left w:w="108" w:type="dxa"/>
            <w:bottom w:w="0" w:type="dxa"/>
            <w:right w:w="108" w:type="dxa"/>
          </w:tblCellMar>
        </w:tblPrEx>
        <w:trPr>
          <w:trHeight w:val="660" w:hRule="atLeast"/>
        </w:trPr>
        <w:tc>
          <w:tcPr>
            <w:tcW w:w="573" w:type="dxa"/>
            <w:vMerge w:val="continue"/>
            <w:tcBorders>
              <w:top w:val="single" w:color="000000" w:sz="4" w:space="0"/>
              <w:left w:val="single" w:color="000000" w:sz="4" w:space="0"/>
              <w:bottom w:val="single" w:color="000000" w:sz="4" w:space="0"/>
              <w:right w:val="single" w:color="000000" w:sz="4" w:space="0"/>
            </w:tcBorders>
            <w:vAlign w:val="center"/>
          </w:tcPr>
          <w:p w14:paraId="12D89FEC">
            <w:pPr>
              <w:jc w:val="center"/>
              <w:rPr>
                <w:rFonts w:hint="eastAsia" w:ascii="宋体" w:hAnsi="宋体" w:cs="宋体"/>
                <w:color w:val="auto"/>
                <w:szCs w:val="21"/>
                <w:highlight w:val="none"/>
              </w:rPr>
            </w:pPr>
          </w:p>
        </w:tc>
        <w:tc>
          <w:tcPr>
            <w:tcW w:w="1125" w:type="dxa"/>
            <w:vMerge w:val="continue"/>
            <w:tcBorders>
              <w:top w:val="single" w:color="000000" w:sz="4" w:space="0"/>
              <w:left w:val="single" w:color="000000" w:sz="4" w:space="0"/>
              <w:bottom w:val="single" w:color="000000" w:sz="4" w:space="0"/>
              <w:right w:val="single" w:color="000000" w:sz="4" w:space="0"/>
            </w:tcBorders>
            <w:vAlign w:val="center"/>
          </w:tcPr>
          <w:p w14:paraId="1B7BD4E3">
            <w:pPr>
              <w:jc w:val="center"/>
              <w:rPr>
                <w:rFonts w:hint="eastAsia" w:ascii="宋体" w:hAnsi="宋体" w:cs="宋体"/>
                <w:color w:val="auto"/>
                <w:szCs w:val="21"/>
                <w:highlight w:val="none"/>
              </w:rPr>
            </w:pPr>
          </w:p>
        </w:tc>
        <w:tc>
          <w:tcPr>
            <w:tcW w:w="1110" w:type="dxa"/>
            <w:vMerge w:val="continue"/>
            <w:tcBorders>
              <w:top w:val="single" w:color="000000" w:sz="4" w:space="0"/>
              <w:left w:val="single" w:color="000000" w:sz="4" w:space="0"/>
              <w:bottom w:val="single" w:color="000000" w:sz="4" w:space="0"/>
              <w:right w:val="single" w:color="000000" w:sz="4" w:space="0"/>
            </w:tcBorders>
            <w:vAlign w:val="center"/>
          </w:tcPr>
          <w:p w14:paraId="78A2CC1F">
            <w:pPr>
              <w:jc w:val="center"/>
              <w:rPr>
                <w:rFonts w:hint="eastAsia" w:ascii="宋体" w:hAnsi="宋体" w:cs="宋体"/>
                <w:color w:val="auto"/>
                <w:szCs w:val="21"/>
                <w:highlight w:val="none"/>
              </w:rPr>
            </w:pPr>
          </w:p>
        </w:tc>
        <w:tc>
          <w:tcPr>
            <w:tcW w:w="1410" w:type="dxa"/>
            <w:tcBorders>
              <w:top w:val="single" w:color="000000" w:sz="4" w:space="0"/>
              <w:left w:val="single" w:color="000000" w:sz="4" w:space="0"/>
              <w:bottom w:val="single" w:color="000000" w:sz="4" w:space="0"/>
              <w:right w:val="single" w:color="000000" w:sz="4" w:space="0"/>
            </w:tcBorders>
            <w:vAlign w:val="center"/>
          </w:tcPr>
          <w:p w14:paraId="187DC24A">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五病区护工</w:t>
            </w:r>
          </w:p>
        </w:tc>
        <w:tc>
          <w:tcPr>
            <w:tcW w:w="960" w:type="dxa"/>
            <w:tcBorders>
              <w:top w:val="single" w:color="000000" w:sz="4" w:space="0"/>
              <w:left w:val="single" w:color="000000" w:sz="4" w:space="0"/>
              <w:bottom w:val="single" w:color="000000" w:sz="4" w:space="0"/>
              <w:right w:val="single" w:color="000000" w:sz="4" w:space="0"/>
            </w:tcBorders>
            <w:vAlign w:val="center"/>
          </w:tcPr>
          <w:p w14:paraId="2B9362A2">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2</w:t>
            </w:r>
          </w:p>
        </w:tc>
        <w:tc>
          <w:tcPr>
            <w:tcW w:w="1350" w:type="dxa"/>
            <w:tcBorders>
              <w:top w:val="single" w:color="000000" w:sz="4" w:space="0"/>
              <w:left w:val="single" w:color="000000" w:sz="4" w:space="0"/>
              <w:bottom w:val="single" w:color="000000" w:sz="4" w:space="0"/>
              <w:right w:val="single" w:color="000000" w:sz="4" w:space="0"/>
            </w:tcBorders>
            <w:vAlign w:val="center"/>
          </w:tcPr>
          <w:p w14:paraId="503B9AD8">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7</w:t>
            </w:r>
          </w:p>
        </w:tc>
        <w:tc>
          <w:tcPr>
            <w:tcW w:w="2295" w:type="dxa"/>
            <w:tcBorders>
              <w:top w:val="single" w:color="000000" w:sz="4" w:space="0"/>
              <w:left w:val="single" w:color="000000" w:sz="4" w:space="0"/>
              <w:bottom w:val="single" w:color="000000" w:sz="4" w:space="0"/>
              <w:right w:val="single" w:color="000000" w:sz="4" w:space="0"/>
            </w:tcBorders>
            <w:vAlign w:val="center"/>
          </w:tcPr>
          <w:p w14:paraId="19B040F0">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白班8小时</w:t>
            </w:r>
          </w:p>
        </w:tc>
      </w:tr>
      <w:tr w14:paraId="49D5D410">
        <w:tblPrEx>
          <w:tblCellMar>
            <w:top w:w="0" w:type="dxa"/>
            <w:left w:w="108" w:type="dxa"/>
            <w:bottom w:w="0" w:type="dxa"/>
            <w:right w:w="108" w:type="dxa"/>
          </w:tblCellMar>
        </w:tblPrEx>
        <w:trPr>
          <w:trHeight w:val="660" w:hRule="atLeast"/>
        </w:trPr>
        <w:tc>
          <w:tcPr>
            <w:tcW w:w="573" w:type="dxa"/>
            <w:tcBorders>
              <w:top w:val="single" w:color="000000" w:sz="4" w:space="0"/>
              <w:left w:val="single" w:color="000000" w:sz="4" w:space="0"/>
              <w:bottom w:val="single" w:color="000000" w:sz="4" w:space="0"/>
              <w:right w:val="single" w:color="000000" w:sz="4" w:space="0"/>
            </w:tcBorders>
            <w:vAlign w:val="center"/>
          </w:tcPr>
          <w:p w14:paraId="436402E2">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3</w:t>
            </w:r>
          </w:p>
        </w:tc>
        <w:tc>
          <w:tcPr>
            <w:tcW w:w="1125" w:type="dxa"/>
            <w:tcBorders>
              <w:top w:val="single" w:color="000000" w:sz="4" w:space="0"/>
              <w:left w:val="single" w:color="000000" w:sz="4" w:space="0"/>
              <w:bottom w:val="single" w:color="000000" w:sz="4" w:space="0"/>
              <w:right w:val="single" w:color="000000" w:sz="4" w:space="0"/>
            </w:tcBorders>
            <w:vAlign w:val="center"/>
          </w:tcPr>
          <w:p w14:paraId="6ECF6460">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病区保管员</w:t>
            </w:r>
          </w:p>
        </w:tc>
        <w:tc>
          <w:tcPr>
            <w:tcW w:w="1110" w:type="dxa"/>
            <w:tcBorders>
              <w:top w:val="single" w:color="000000" w:sz="4" w:space="0"/>
              <w:left w:val="single" w:color="000000" w:sz="4" w:space="0"/>
              <w:bottom w:val="single" w:color="000000" w:sz="4" w:space="0"/>
              <w:right w:val="single" w:color="000000" w:sz="4" w:space="0"/>
            </w:tcBorders>
            <w:vAlign w:val="center"/>
          </w:tcPr>
          <w:p w14:paraId="254AB3A2">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4</w:t>
            </w:r>
          </w:p>
        </w:tc>
        <w:tc>
          <w:tcPr>
            <w:tcW w:w="1410" w:type="dxa"/>
            <w:tcBorders>
              <w:top w:val="single" w:color="000000" w:sz="4" w:space="0"/>
              <w:left w:val="single" w:color="000000" w:sz="4" w:space="0"/>
              <w:bottom w:val="single" w:color="000000" w:sz="4" w:space="0"/>
              <w:right w:val="single" w:color="000000" w:sz="4" w:space="0"/>
            </w:tcBorders>
            <w:vAlign w:val="center"/>
          </w:tcPr>
          <w:p w14:paraId="3DDA11F6">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病区保管员</w:t>
            </w:r>
          </w:p>
        </w:tc>
        <w:tc>
          <w:tcPr>
            <w:tcW w:w="960" w:type="dxa"/>
            <w:tcBorders>
              <w:top w:val="single" w:color="000000" w:sz="4" w:space="0"/>
              <w:left w:val="single" w:color="000000" w:sz="4" w:space="0"/>
              <w:bottom w:val="single" w:color="000000" w:sz="4" w:space="0"/>
              <w:right w:val="single" w:color="000000" w:sz="4" w:space="0"/>
            </w:tcBorders>
            <w:vAlign w:val="center"/>
          </w:tcPr>
          <w:p w14:paraId="71EFE879">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4</w:t>
            </w:r>
          </w:p>
        </w:tc>
        <w:tc>
          <w:tcPr>
            <w:tcW w:w="1350" w:type="dxa"/>
            <w:tcBorders>
              <w:top w:val="single" w:color="000000" w:sz="4" w:space="0"/>
              <w:left w:val="single" w:color="000000" w:sz="4" w:space="0"/>
              <w:bottom w:val="single" w:color="000000" w:sz="4" w:space="0"/>
              <w:right w:val="single" w:color="000000" w:sz="4" w:space="0"/>
            </w:tcBorders>
            <w:vAlign w:val="center"/>
          </w:tcPr>
          <w:p w14:paraId="1BB66F8F">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7</w:t>
            </w:r>
          </w:p>
        </w:tc>
        <w:tc>
          <w:tcPr>
            <w:tcW w:w="2295" w:type="dxa"/>
            <w:tcBorders>
              <w:top w:val="single" w:color="000000" w:sz="4" w:space="0"/>
              <w:left w:val="single" w:color="000000" w:sz="4" w:space="0"/>
              <w:bottom w:val="single" w:color="000000" w:sz="4" w:space="0"/>
              <w:right w:val="single" w:color="000000" w:sz="4" w:space="0"/>
            </w:tcBorders>
            <w:vAlign w:val="center"/>
          </w:tcPr>
          <w:p w14:paraId="40E26F55">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白班8小时</w:t>
            </w:r>
          </w:p>
        </w:tc>
      </w:tr>
      <w:tr w14:paraId="697735F9">
        <w:tblPrEx>
          <w:tblCellMar>
            <w:top w:w="0" w:type="dxa"/>
            <w:left w:w="108" w:type="dxa"/>
            <w:bottom w:w="0" w:type="dxa"/>
            <w:right w:w="108" w:type="dxa"/>
          </w:tblCellMar>
        </w:tblPrEx>
        <w:trPr>
          <w:trHeight w:val="660" w:hRule="atLeast"/>
        </w:trPr>
        <w:tc>
          <w:tcPr>
            <w:tcW w:w="573" w:type="dxa"/>
            <w:vMerge w:val="restart"/>
            <w:tcBorders>
              <w:top w:val="single" w:color="000000" w:sz="4" w:space="0"/>
              <w:left w:val="single" w:color="000000" w:sz="4" w:space="0"/>
              <w:bottom w:val="single" w:color="000000" w:sz="4" w:space="0"/>
              <w:right w:val="single" w:color="000000" w:sz="4" w:space="0"/>
            </w:tcBorders>
            <w:vAlign w:val="center"/>
          </w:tcPr>
          <w:p w14:paraId="2B354EE4">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4</w:t>
            </w:r>
          </w:p>
        </w:tc>
        <w:tc>
          <w:tcPr>
            <w:tcW w:w="1125" w:type="dxa"/>
            <w:vMerge w:val="restart"/>
            <w:tcBorders>
              <w:top w:val="single" w:color="000000" w:sz="4" w:space="0"/>
              <w:left w:val="single" w:color="000000" w:sz="4" w:space="0"/>
              <w:bottom w:val="single" w:color="000000" w:sz="4" w:space="0"/>
              <w:right w:val="single" w:color="000000" w:sz="4" w:space="0"/>
            </w:tcBorders>
            <w:vAlign w:val="center"/>
          </w:tcPr>
          <w:p w14:paraId="37205BF1">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环境消杀</w:t>
            </w:r>
          </w:p>
        </w:tc>
        <w:tc>
          <w:tcPr>
            <w:tcW w:w="1110" w:type="dxa"/>
            <w:vMerge w:val="restart"/>
            <w:tcBorders>
              <w:top w:val="single" w:color="000000" w:sz="4" w:space="0"/>
              <w:left w:val="single" w:color="000000" w:sz="4" w:space="0"/>
              <w:bottom w:val="single" w:color="000000" w:sz="4" w:space="0"/>
              <w:right w:val="single" w:color="000000" w:sz="4" w:space="0"/>
            </w:tcBorders>
            <w:vAlign w:val="center"/>
          </w:tcPr>
          <w:p w14:paraId="6F740198">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14</w:t>
            </w:r>
          </w:p>
        </w:tc>
        <w:tc>
          <w:tcPr>
            <w:tcW w:w="1410" w:type="dxa"/>
            <w:tcBorders>
              <w:top w:val="single" w:color="000000" w:sz="4" w:space="0"/>
              <w:left w:val="single" w:color="000000" w:sz="4" w:space="0"/>
              <w:bottom w:val="single" w:color="000000" w:sz="4" w:space="0"/>
              <w:right w:val="single" w:color="000000" w:sz="4" w:space="0"/>
            </w:tcBorders>
            <w:vAlign w:val="center"/>
          </w:tcPr>
          <w:p w14:paraId="506E0447">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病区环境消杀员</w:t>
            </w:r>
          </w:p>
        </w:tc>
        <w:tc>
          <w:tcPr>
            <w:tcW w:w="960" w:type="dxa"/>
            <w:tcBorders>
              <w:top w:val="single" w:color="000000" w:sz="4" w:space="0"/>
              <w:left w:val="single" w:color="000000" w:sz="4" w:space="0"/>
              <w:bottom w:val="single" w:color="000000" w:sz="4" w:space="0"/>
              <w:right w:val="single" w:color="000000" w:sz="4" w:space="0"/>
            </w:tcBorders>
            <w:vAlign w:val="center"/>
          </w:tcPr>
          <w:p w14:paraId="27A6EC8A">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7</w:t>
            </w:r>
          </w:p>
        </w:tc>
        <w:tc>
          <w:tcPr>
            <w:tcW w:w="1350" w:type="dxa"/>
            <w:tcBorders>
              <w:top w:val="single" w:color="000000" w:sz="4" w:space="0"/>
              <w:left w:val="single" w:color="000000" w:sz="4" w:space="0"/>
              <w:bottom w:val="single" w:color="000000" w:sz="4" w:space="0"/>
              <w:right w:val="single" w:color="000000" w:sz="4" w:space="0"/>
            </w:tcBorders>
            <w:vAlign w:val="center"/>
          </w:tcPr>
          <w:p w14:paraId="49CD2E51">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7</w:t>
            </w:r>
          </w:p>
        </w:tc>
        <w:tc>
          <w:tcPr>
            <w:tcW w:w="2295" w:type="dxa"/>
            <w:tcBorders>
              <w:top w:val="single" w:color="000000" w:sz="4" w:space="0"/>
              <w:left w:val="single" w:color="000000" w:sz="4" w:space="0"/>
              <w:bottom w:val="single" w:color="000000" w:sz="4" w:space="0"/>
              <w:right w:val="single" w:color="000000" w:sz="4" w:space="0"/>
            </w:tcBorders>
            <w:vAlign w:val="center"/>
          </w:tcPr>
          <w:p w14:paraId="5F76BE81">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白班8小时</w:t>
            </w:r>
          </w:p>
        </w:tc>
      </w:tr>
      <w:tr w14:paraId="01807616">
        <w:tblPrEx>
          <w:tblCellMar>
            <w:top w:w="0" w:type="dxa"/>
            <w:left w:w="108" w:type="dxa"/>
            <w:bottom w:w="0" w:type="dxa"/>
            <w:right w:w="108" w:type="dxa"/>
          </w:tblCellMar>
        </w:tblPrEx>
        <w:trPr>
          <w:trHeight w:val="660" w:hRule="atLeast"/>
        </w:trPr>
        <w:tc>
          <w:tcPr>
            <w:tcW w:w="573" w:type="dxa"/>
            <w:vMerge w:val="continue"/>
            <w:tcBorders>
              <w:top w:val="single" w:color="000000" w:sz="4" w:space="0"/>
              <w:left w:val="single" w:color="000000" w:sz="4" w:space="0"/>
              <w:bottom w:val="single" w:color="000000" w:sz="4" w:space="0"/>
              <w:right w:val="single" w:color="000000" w:sz="4" w:space="0"/>
            </w:tcBorders>
            <w:vAlign w:val="center"/>
          </w:tcPr>
          <w:p w14:paraId="1D5E8CDE">
            <w:pPr>
              <w:jc w:val="center"/>
              <w:rPr>
                <w:rFonts w:hint="eastAsia" w:ascii="宋体" w:hAnsi="宋体" w:cs="宋体"/>
                <w:color w:val="auto"/>
                <w:szCs w:val="21"/>
                <w:highlight w:val="none"/>
              </w:rPr>
            </w:pPr>
          </w:p>
        </w:tc>
        <w:tc>
          <w:tcPr>
            <w:tcW w:w="1125" w:type="dxa"/>
            <w:vMerge w:val="continue"/>
            <w:tcBorders>
              <w:top w:val="single" w:color="000000" w:sz="4" w:space="0"/>
              <w:left w:val="single" w:color="000000" w:sz="4" w:space="0"/>
              <w:bottom w:val="single" w:color="000000" w:sz="4" w:space="0"/>
              <w:right w:val="single" w:color="000000" w:sz="4" w:space="0"/>
            </w:tcBorders>
            <w:vAlign w:val="center"/>
          </w:tcPr>
          <w:p w14:paraId="4F4EDA58">
            <w:pPr>
              <w:jc w:val="center"/>
              <w:rPr>
                <w:rFonts w:hint="eastAsia" w:ascii="宋体" w:hAnsi="宋体" w:cs="宋体"/>
                <w:color w:val="auto"/>
                <w:szCs w:val="21"/>
                <w:highlight w:val="none"/>
              </w:rPr>
            </w:pPr>
          </w:p>
        </w:tc>
        <w:tc>
          <w:tcPr>
            <w:tcW w:w="1110" w:type="dxa"/>
            <w:vMerge w:val="continue"/>
            <w:tcBorders>
              <w:top w:val="single" w:color="000000" w:sz="4" w:space="0"/>
              <w:left w:val="single" w:color="000000" w:sz="4" w:space="0"/>
              <w:bottom w:val="single" w:color="000000" w:sz="4" w:space="0"/>
              <w:right w:val="single" w:color="000000" w:sz="4" w:space="0"/>
            </w:tcBorders>
            <w:vAlign w:val="center"/>
          </w:tcPr>
          <w:p w14:paraId="1F1B3691">
            <w:pPr>
              <w:jc w:val="center"/>
              <w:rPr>
                <w:rFonts w:hint="eastAsia" w:ascii="宋体" w:hAnsi="宋体" w:cs="宋体"/>
                <w:color w:val="auto"/>
                <w:szCs w:val="21"/>
                <w:highlight w:val="none"/>
              </w:rPr>
            </w:pPr>
          </w:p>
        </w:tc>
        <w:tc>
          <w:tcPr>
            <w:tcW w:w="1410" w:type="dxa"/>
            <w:tcBorders>
              <w:top w:val="single" w:color="000000" w:sz="4" w:space="0"/>
              <w:left w:val="single" w:color="000000" w:sz="4" w:space="0"/>
              <w:bottom w:val="single" w:color="000000" w:sz="4" w:space="0"/>
              <w:right w:val="single" w:color="000000" w:sz="4" w:space="0"/>
            </w:tcBorders>
            <w:vAlign w:val="center"/>
          </w:tcPr>
          <w:p w14:paraId="72090EEC">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门诊环境消杀员</w:t>
            </w:r>
          </w:p>
        </w:tc>
        <w:tc>
          <w:tcPr>
            <w:tcW w:w="960" w:type="dxa"/>
            <w:tcBorders>
              <w:top w:val="single" w:color="000000" w:sz="4" w:space="0"/>
              <w:left w:val="single" w:color="000000" w:sz="4" w:space="0"/>
              <w:bottom w:val="single" w:color="000000" w:sz="4" w:space="0"/>
              <w:right w:val="single" w:color="000000" w:sz="4" w:space="0"/>
            </w:tcBorders>
            <w:vAlign w:val="center"/>
          </w:tcPr>
          <w:p w14:paraId="608E610E">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4</w:t>
            </w:r>
          </w:p>
        </w:tc>
        <w:tc>
          <w:tcPr>
            <w:tcW w:w="1350" w:type="dxa"/>
            <w:tcBorders>
              <w:top w:val="single" w:color="000000" w:sz="4" w:space="0"/>
              <w:left w:val="single" w:color="000000" w:sz="4" w:space="0"/>
              <w:bottom w:val="single" w:color="000000" w:sz="4" w:space="0"/>
              <w:right w:val="single" w:color="000000" w:sz="4" w:space="0"/>
            </w:tcBorders>
            <w:vAlign w:val="center"/>
          </w:tcPr>
          <w:p w14:paraId="512E3086">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7</w:t>
            </w:r>
          </w:p>
        </w:tc>
        <w:tc>
          <w:tcPr>
            <w:tcW w:w="2295" w:type="dxa"/>
            <w:tcBorders>
              <w:top w:val="single" w:color="000000" w:sz="4" w:space="0"/>
              <w:left w:val="single" w:color="000000" w:sz="4" w:space="0"/>
              <w:bottom w:val="single" w:color="000000" w:sz="4" w:space="0"/>
              <w:right w:val="single" w:color="000000" w:sz="4" w:space="0"/>
            </w:tcBorders>
            <w:vAlign w:val="center"/>
          </w:tcPr>
          <w:p w14:paraId="740867BB">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白班8小时</w:t>
            </w:r>
          </w:p>
        </w:tc>
      </w:tr>
      <w:tr w14:paraId="29963B93">
        <w:tblPrEx>
          <w:tblCellMar>
            <w:top w:w="0" w:type="dxa"/>
            <w:left w:w="108" w:type="dxa"/>
            <w:bottom w:w="0" w:type="dxa"/>
            <w:right w:w="108" w:type="dxa"/>
          </w:tblCellMar>
        </w:tblPrEx>
        <w:trPr>
          <w:trHeight w:val="660" w:hRule="atLeast"/>
        </w:trPr>
        <w:tc>
          <w:tcPr>
            <w:tcW w:w="573" w:type="dxa"/>
            <w:vMerge w:val="continue"/>
            <w:tcBorders>
              <w:top w:val="single" w:color="000000" w:sz="4" w:space="0"/>
              <w:left w:val="single" w:color="000000" w:sz="4" w:space="0"/>
              <w:bottom w:val="single" w:color="000000" w:sz="4" w:space="0"/>
              <w:right w:val="single" w:color="000000" w:sz="4" w:space="0"/>
            </w:tcBorders>
            <w:vAlign w:val="center"/>
          </w:tcPr>
          <w:p w14:paraId="383ED4ED">
            <w:pPr>
              <w:jc w:val="center"/>
              <w:rPr>
                <w:rFonts w:hint="eastAsia" w:ascii="宋体" w:hAnsi="宋体" w:cs="宋体"/>
                <w:color w:val="auto"/>
                <w:szCs w:val="21"/>
                <w:highlight w:val="none"/>
              </w:rPr>
            </w:pPr>
          </w:p>
        </w:tc>
        <w:tc>
          <w:tcPr>
            <w:tcW w:w="1125" w:type="dxa"/>
            <w:vMerge w:val="continue"/>
            <w:tcBorders>
              <w:top w:val="single" w:color="000000" w:sz="4" w:space="0"/>
              <w:left w:val="single" w:color="000000" w:sz="4" w:space="0"/>
              <w:bottom w:val="single" w:color="000000" w:sz="4" w:space="0"/>
              <w:right w:val="single" w:color="000000" w:sz="4" w:space="0"/>
            </w:tcBorders>
            <w:vAlign w:val="center"/>
          </w:tcPr>
          <w:p w14:paraId="5D7B6502">
            <w:pPr>
              <w:jc w:val="center"/>
              <w:rPr>
                <w:rFonts w:hint="eastAsia" w:ascii="宋体" w:hAnsi="宋体" w:cs="宋体"/>
                <w:color w:val="auto"/>
                <w:szCs w:val="21"/>
                <w:highlight w:val="none"/>
              </w:rPr>
            </w:pPr>
          </w:p>
        </w:tc>
        <w:tc>
          <w:tcPr>
            <w:tcW w:w="1110" w:type="dxa"/>
            <w:vMerge w:val="continue"/>
            <w:tcBorders>
              <w:top w:val="single" w:color="000000" w:sz="4" w:space="0"/>
              <w:left w:val="single" w:color="000000" w:sz="4" w:space="0"/>
              <w:bottom w:val="single" w:color="000000" w:sz="4" w:space="0"/>
              <w:right w:val="single" w:color="000000" w:sz="4" w:space="0"/>
            </w:tcBorders>
            <w:vAlign w:val="center"/>
          </w:tcPr>
          <w:p w14:paraId="61DEEC05">
            <w:pPr>
              <w:jc w:val="center"/>
              <w:rPr>
                <w:rFonts w:hint="eastAsia" w:ascii="宋体" w:hAnsi="宋体" w:cs="宋体"/>
                <w:color w:val="auto"/>
                <w:szCs w:val="21"/>
                <w:highlight w:val="none"/>
              </w:rPr>
            </w:pPr>
          </w:p>
        </w:tc>
        <w:tc>
          <w:tcPr>
            <w:tcW w:w="1410" w:type="dxa"/>
            <w:tcBorders>
              <w:top w:val="single" w:color="000000" w:sz="4" w:space="0"/>
              <w:left w:val="single" w:color="000000" w:sz="4" w:space="0"/>
              <w:bottom w:val="single" w:color="000000" w:sz="4" w:space="0"/>
              <w:right w:val="single" w:color="000000" w:sz="4" w:space="0"/>
            </w:tcBorders>
            <w:vAlign w:val="center"/>
          </w:tcPr>
          <w:p w14:paraId="4011640B">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食堂环境消杀员</w:t>
            </w:r>
          </w:p>
        </w:tc>
        <w:tc>
          <w:tcPr>
            <w:tcW w:w="960" w:type="dxa"/>
            <w:tcBorders>
              <w:top w:val="single" w:color="000000" w:sz="4" w:space="0"/>
              <w:left w:val="single" w:color="000000" w:sz="4" w:space="0"/>
              <w:bottom w:val="single" w:color="000000" w:sz="4" w:space="0"/>
              <w:right w:val="single" w:color="000000" w:sz="4" w:space="0"/>
            </w:tcBorders>
            <w:vAlign w:val="center"/>
          </w:tcPr>
          <w:p w14:paraId="7637C6DF">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1</w:t>
            </w:r>
          </w:p>
        </w:tc>
        <w:tc>
          <w:tcPr>
            <w:tcW w:w="1350" w:type="dxa"/>
            <w:tcBorders>
              <w:top w:val="single" w:color="000000" w:sz="4" w:space="0"/>
              <w:left w:val="single" w:color="000000" w:sz="4" w:space="0"/>
              <w:bottom w:val="single" w:color="000000" w:sz="4" w:space="0"/>
              <w:right w:val="single" w:color="000000" w:sz="4" w:space="0"/>
            </w:tcBorders>
            <w:vAlign w:val="center"/>
          </w:tcPr>
          <w:p w14:paraId="54D540C9">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7</w:t>
            </w:r>
          </w:p>
        </w:tc>
        <w:tc>
          <w:tcPr>
            <w:tcW w:w="2295" w:type="dxa"/>
            <w:tcBorders>
              <w:top w:val="single" w:color="000000" w:sz="4" w:space="0"/>
              <w:left w:val="single" w:color="000000" w:sz="4" w:space="0"/>
              <w:bottom w:val="single" w:color="000000" w:sz="4" w:space="0"/>
              <w:right w:val="single" w:color="000000" w:sz="4" w:space="0"/>
            </w:tcBorders>
            <w:vAlign w:val="center"/>
          </w:tcPr>
          <w:p w14:paraId="14234EE4">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白班8小时</w:t>
            </w:r>
          </w:p>
        </w:tc>
      </w:tr>
      <w:tr w14:paraId="5E9E86FC">
        <w:tblPrEx>
          <w:tblCellMar>
            <w:top w:w="0" w:type="dxa"/>
            <w:left w:w="108" w:type="dxa"/>
            <w:bottom w:w="0" w:type="dxa"/>
            <w:right w:w="108" w:type="dxa"/>
          </w:tblCellMar>
        </w:tblPrEx>
        <w:trPr>
          <w:trHeight w:val="660" w:hRule="atLeast"/>
        </w:trPr>
        <w:tc>
          <w:tcPr>
            <w:tcW w:w="573" w:type="dxa"/>
            <w:vMerge w:val="continue"/>
            <w:tcBorders>
              <w:top w:val="single" w:color="000000" w:sz="4" w:space="0"/>
              <w:left w:val="single" w:color="000000" w:sz="4" w:space="0"/>
              <w:bottom w:val="single" w:color="000000" w:sz="4" w:space="0"/>
              <w:right w:val="single" w:color="000000" w:sz="4" w:space="0"/>
            </w:tcBorders>
            <w:vAlign w:val="center"/>
          </w:tcPr>
          <w:p w14:paraId="03783978">
            <w:pPr>
              <w:jc w:val="center"/>
              <w:rPr>
                <w:rFonts w:hint="eastAsia" w:ascii="宋体" w:hAnsi="宋体" w:cs="宋体"/>
                <w:color w:val="auto"/>
                <w:szCs w:val="21"/>
                <w:highlight w:val="none"/>
              </w:rPr>
            </w:pPr>
          </w:p>
        </w:tc>
        <w:tc>
          <w:tcPr>
            <w:tcW w:w="1125" w:type="dxa"/>
            <w:vMerge w:val="continue"/>
            <w:tcBorders>
              <w:top w:val="single" w:color="000000" w:sz="4" w:space="0"/>
              <w:left w:val="single" w:color="000000" w:sz="4" w:space="0"/>
              <w:bottom w:val="single" w:color="000000" w:sz="4" w:space="0"/>
              <w:right w:val="single" w:color="000000" w:sz="4" w:space="0"/>
            </w:tcBorders>
            <w:vAlign w:val="center"/>
          </w:tcPr>
          <w:p w14:paraId="36415383">
            <w:pPr>
              <w:jc w:val="center"/>
              <w:rPr>
                <w:rFonts w:hint="eastAsia" w:ascii="宋体" w:hAnsi="宋体" w:cs="宋体"/>
                <w:color w:val="auto"/>
                <w:szCs w:val="21"/>
                <w:highlight w:val="none"/>
              </w:rPr>
            </w:pPr>
          </w:p>
        </w:tc>
        <w:tc>
          <w:tcPr>
            <w:tcW w:w="1110" w:type="dxa"/>
            <w:vMerge w:val="continue"/>
            <w:tcBorders>
              <w:top w:val="single" w:color="000000" w:sz="4" w:space="0"/>
              <w:left w:val="single" w:color="000000" w:sz="4" w:space="0"/>
              <w:bottom w:val="single" w:color="000000" w:sz="4" w:space="0"/>
              <w:right w:val="single" w:color="000000" w:sz="4" w:space="0"/>
            </w:tcBorders>
            <w:vAlign w:val="center"/>
          </w:tcPr>
          <w:p w14:paraId="032D94CC">
            <w:pPr>
              <w:jc w:val="center"/>
              <w:rPr>
                <w:rFonts w:hint="eastAsia" w:ascii="宋体" w:hAnsi="宋体" w:cs="宋体"/>
                <w:color w:val="auto"/>
                <w:szCs w:val="21"/>
                <w:highlight w:val="none"/>
              </w:rPr>
            </w:pPr>
          </w:p>
        </w:tc>
        <w:tc>
          <w:tcPr>
            <w:tcW w:w="1410" w:type="dxa"/>
            <w:tcBorders>
              <w:top w:val="single" w:color="000000" w:sz="4" w:space="0"/>
              <w:left w:val="single" w:color="000000" w:sz="4" w:space="0"/>
              <w:bottom w:val="single" w:color="000000" w:sz="4" w:space="0"/>
              <w:right w:val="single" w:color="000000" w:sz="4" w:space="0"/>
            </w:tcBorders>
            <w:vAlign w:val="center"/>
          </w:tcPr>
          <w:p w14:paraId="06B1FF2D">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外围环境消杀员</w:t>
            </w:r>
          </w:p>
        </w:tc>
        <w:tc>
          <w:tcPr>
            <w:tcW w:w="960" w:type="dxa"/>
            <w:tcBorders>
              <w:top w:val="single" w:color="000000" w:sz="4" w:space="0"/>
              <w:left w:val="single" w:color="000000" w:sz="4" w:space="0"/>
              <w:bottom w:val="single" w:color="000000" w:sz="4" w:space="0"/>
              <w:right w:val="single" w:color="000000" w:sz="4" w:space="0"/>
            </w:tcBorders>
            <w:vAlign w:val="center"/>
          </w:tcPr>
          <w:p w14:paraId="75970324">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2</w:t>
            </w:r>
          </w:p>
        </w:tc>
        <w:tc>
          <w:tcPr>
            <w:tcW w:w="1350" w:type="dxa"/>
            <w:tcBorders>
              <w:top w:val="single" w:color="000000" w:sz="4" w:space="0"/>
              <w:left w:val="single" w:color="000000" w:sz="4" w:space="0"/>
              <w:bottom w:val="single" w:color="000000" w:sz="4" w:space="0"/>
              <w:right w:val="single" w:color="000000" w:sz="4" w:space="0"/>
            </w:tcBorders>
            <w:vAlign w:val="center"/>
          </w:tcPr>
          <w:p w14:paraId="3D6069D7">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7</w:t>
            </w:r>
          </w:p>
        </w:tc>
        <w:tc>
          <w:tcPr>
            <w:tcW w:w="2295" w:type="dxa"/>
            <w:tcBorders>
              <w:top w:val="single" w:color="000000" w:sz="4" w:space="0"/>
              <w:left w:val="single" w:color="000000" w:sz="4" w:space="0"/>
              <w:bottom w:val="single" w:color="000000" w:sz="4" w:space="0"/>
              <w:right w:val="single" w:color="000000" w:sz="4" w:space="0"/>
            </w:tcBorders>
            <w:vAlign w:val="center"/>
          </w:tcPr>
          <w:p w14:paraId="36C92BB5">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白班8小时</w:t>
            </w:r>
          </w:p>
        </w:tc>
      </w:tr>
      <w:tr w14:paraId="4E48A016">
        <w:tblPrEx>
          <w:tblCellMar>
            <w:top w:w="0" w:type="dxa"/>
            <w:left w:w="108" w:type="dxa"/>
            <w:bottom w:w="0" w:type="dxa"/>
            <w:right w:w="108" w:type="dxa"/>
          </w:tblCellMar>
        </w:tblPrEx>
        <w:trPr>
          <w:trHeight w:val="900" w:hRule="atLeast"/>
        </w:trPr>
        <w:tc>
          <w:tcPr>
            <w:tcW w:w="573" w:type="dxa"/>
            <w:tcBorders>
              <w:top w:val="single" w:color="000000" w:sz="4" w:space="0"/>
              <w:left w:val="single" w:color="000000" w:sz="4" w:space="0"/>
              <w:bottom w:val="single" w:color="000000" w:sz="4" w:space="0"/>
              <w:right w:val="single" w:color="000000" w:sz="4" w:space="0"/>
            </w:tcBorders>
            <w:vAlign w:val="center"/>
          </w:tcPr>
          <w:p w14:paraId="02AD4F49">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5</w:t>
            </w:r>
          </w:p>
        </w:tc>
        <w:tc>
          <w:tcPr>
            <w:tcW w:w="1125" w:type="dxa"/>
            <w:tcBorders>
              <w:top w:val="single" w:color="000000" w:sz="4" w:space="0"/>
              <w:left w:val="single" w:color="000000" w:sz="4" w:space="0"/>
              <w:bottom w:val="single" w:color="000000" w:sz="4" w:space="0"/>
              <w:right w:val="single" w:color="000000" w:sz="4" w:space="0"/>
            </w:tcBorders>
            <w:vAlign w:val="center"/>
          </w:tcPr>
          <w:p w14:paraId="4DC75FE9">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医废处置兼洗衣房</w:t>
            </w:r>
          </w:p>
        </w:tc>
        <w:tc>
          <w:tcPr>
            <w:tcW w:w="1110" w:type="dxa"/>
            <w:tcBorders>
              <w:top w:val="single" w:color="000000" w:sz="4" w:space="0"/>
              <w:left w:val="single" w:color="000000" w:sz="4" w:space="0"/>
              <w:bottom w:val="single" w:color="000000" w:sz="4" w:space="0"/>
              <w:right w:val="single" w:color="000000" w:sz="4" w:space="0"/>
            </w:tcBorders>
            <w:vAlign w:val="center"/>
          </w:tcPr>
          <w:p w14:paraId="74B756EB">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2</w:t>
            </w:r>
          </w:p>
        </w:tc>
        <w:tc>
          <w:tcPr>
            <w:tcW w:w="1410" w:type="dxa"/>
            <w:tcBorders>
              <w:top w:val="single" w:color="000000" w:sz="4" w:space="0"/>
              <w:left w:val="single" w:color="000000" w:sz="4" w:space="0"/>
              <w:bottom w:val="single" w:color="000000" w:sz="4" w:space="0"/>
              <w:right w:val="single" w:color="000000" w:sz="4" w:space="0"/>
            </w:tcBorders>
            <w:vAlign w:val="center"/>
          </w:tcPr>
          <w:p w14:paraId="388E6E15">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医废转运员兼洗衣工</w:t>
            </w:r>
          </w:p>
        </w:tc>
        <w:tc>
          <w:tcPr>
            <w:tcW w:w="960" w:type="dxa"/>
            <w:tcBorders>
              <w:top w:val="single" w:color="000000" w:sz="4" w:space="0"/>
              <w:left w:val="single" w:color="000000" w:sz="4" w:space="0"/>
              <w:bottom w:val="single" w:color="000000" w:sz="4" w:space="0"/>
              <w:right w:val="single" w:color="000000" w:sz="4" w:space="0"/>
            </w:tcBorders>
            <w:vAlign w:val="center"/>
          </w:tcPr>
          <w:p w14:paraId="4B21E715">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2</w:t>
            </w:r>
          </w:p>
        </w:tc>
        <w:tc>
          <w:tcPr>
            <w:tcW w:w="1350" w:type="dxa"/>
            <w:tcBorders>
              <w:top w:val="single" w:color="000000" w:sz="4" w:space="0"/>
              <w:left w:val="single" w:color="000000" w:sz="4" w:space="0"/>
              <w:bottom w:val="single" w:color="000000" w:sz="4" w:space="0"/>
              <w:right w:val="single" w:color="000000" w:sz="4" w:space="0"/>
            </w:tcBorders>
            <w:vAlign w:val="center"/>
          </w:tcPr>
          <w:p w14:paraId="6EAAE718">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6</w:t>
            </w:r>
          </w:p>
        </w:tc>
        <w:tc>
          <w:tcPr>
            <w:tcW w:w="2295" w:type="dxa"/>
            <w:tcBorders>
              <w:top w:val="single" w:color="000000" w:sz="4" w:space="0"/>
              <w:left w:val="single" w:color="000000" w:sz="4" w:space="0"/>
              <w:bottom w:val="single" w:color="000000" w:sz="4" w:space="0"/>
              <w:right w:val="single" w:color="000000" w:sz="4" w:space="0"/>
            </w:tcBorders>
            <w:vAlign w:val="center"/>
          </w:tcPr>
          <w:p w14:paraId="2D707516">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白班8小时，周末及法定节假日至少1人在岗</w:t>
            </w:r>
          </w:p>
        </w:tc>
      </w:tr>
      <w:tr w14:paraId="342FEEDB">
        <w:tblPrEx>
          <w:tblCellMar>
            <w:top w:w="0" w:type="dxa"/>
            <w:left w:w="108" w:type="dxa"/>
            <w:bottom w:w="0" w:type="dxa"/>
            <w:right w:w="108" w:type="dxa"/>
          </w:tblCellMar>
        </w:tblPrEx>
        <w:trPr>
          <w:trHeight w:val="660" w:hRule="atLeast"/>
        </w:trPr>
        <w:tc>
          <w:tcPr>
            <w:tcW w:w="573" w:type="dxa"/>
            <w:vMerge w:val="restart"/>
            <w:tcBorders>
              <w:top w:val="single" w:color="000000" w:sz="4" w:space="0"/>
              <w:left w:val="single" w:color="000000" w:sz="4" w:space="0"/>
              <w:bottom w:val="single" w:color="000000" w:sz="4" w:space="0"/>
              <w:right w:val="single" w:color="000000" w:sz="4" w:space="0"/>
            </w:tcBorders>
            <w:vAlign w:val="center"/>
          </w:tcPr>
          <w:p w14:paraId="533256B0">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6</w:t>
            </w:r>
          </w:p>
        </w:tc>
        <w:tc>
          <w:tcPr>
            <w:tcW w:w="1125" w:type="dxa"/>
            <w:vMerge w:val="restart"/>
            <w:tcBorders>
              <w:top w:val="single" w:color="000000" w:sz="4" w:space="0"/>
              <w:left w:val="single" w:color="000000" w:sz="4" w:space="0"/>
              <w:bottom w:val="single" w:color="000000" w:sz="4" w:space="0"/>
              <w:right w:val="single" w:color="000000" w:sz="4" w:space="0"/>
            </w:tcBorders>
            <w:vAlign w:val="center"/>
          </w:tcPr>
          <w:p w14:paraId="4D3490F4">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食堂</w:t>
            </w:r>
          </w:p>
        </w:tc>
        <w:tc>
          <w:tcPr>
            <w:tcW w:w="1110" w:type="dxa"/>
            <w:vMerge w:val="restart"/>
            <w:tcBorders>
              <w:top w:val="single" w:color="000000" w:sz="4" w:space="0"/>
              <w:left w:val="single" w:color="000000" w:sz="4" w:space="0"/>
              <w:bottom w:val="single" w:color="000000" w:sz="4" w:space="0"/>
              <w:right w:val="single" w:color="000000" w:sz="4" w:space="0"/>
            </w:tcBorders>
            <w:vAlign w:val="center"/>
          </w:tcPr>
          <w:p w14:paraId="74A9B382">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11</w:t>
            </w:r>
          </w:p>
        </w:tc>
        <w:tc>
          <w:tcPr>
            <w:tcW w:w="1410" w:type="dxa"/>
            <w:tcBorders>
              <w:top w:val="single" w:color="000000" w:sz="4" w:space="0"/>
              <w:left w:val="single" w:color="000000" w:sz="4" w:space="0"/>
              <w:bottom w:val="single" w:color="000000" w:sz="4" w:space="0"/>
              <w:right w:val="single" w:color="000000" w:sz="4" w:space="0"/>
            </w:tcBorders>
            <w:vAlign w:val="center"/>
          </w:tcPr>
          <w:p w14:paraId="2D587E62">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厨师</w:t>
            </w:r>
          </w:p>
        </w:tc>
        <w:tc>
          <w:tcPr>
            <w:tcW w:w="960" w:type="dxa"/>
            <w:tcBorders>
              <w:top w:val="single" w:color="000000" w:sz="4" w:space="0"/>
              <w:left w:val="single" w:color="000000" w:sz="4" w:space="0"/>
              <w:bottom w:val="single" w:color="000000" w:sz="4" w:space="0"/>
              <w:right w:val="single" w:color="000000" w:sz="4" w:space="0"/>
            </w:tcBorders>
            <w:vAlign w:val="center"/>
          </w:tcPr>
          <w:p w14:paraId="36F54EB1">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3</w:t>
            </w:r>
          </w:p>
        </w:tc>
        <w:tc>
          <w:tcPr>
            <w:tcW w:w="1350" w:type="dxa"/>
            <w:tcBorders>
              <w:top w:val="single" w:color="000000" w:sz="4" w:space="0"/>
              <w:left w:val="single" w:color="000000" w:sz="4" w:space="0"/>
              <w:bottom w:val="single" w:color="000000" w:sz="4" w:space="0"/>
              <w:right w:val="single" w:color="000000" w:sz="4" w:space="0"/>
            </w:tcBorders>
            <w:vAlign w:val="center"/>
          </w:tcPr>
          <w:p w14:paraId="7BD8B503">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6</w:t>
            </w:r>
          </w:p>
        </w:tc>
        <w:tc>
          <w:tcPr>
            <w:tcW w:w="2295" w:type="dxa"/>
            <w:tcBorders>
              <w:top w:val="single" w:color="000000" w:sz="4" w:space="0"/>
              <w:left w:val="single" w:color="000000" w:sz="4" w:space="0"/>
              <w:bottom w:val="single" w:color="000000" w:sz="4" w:space="0"/>
              <w:right w:val="single" w:color="000000" w:sz="4" w:space="0"/>
            </w:tcBorders>
            <w:vAlign w:val="center"/>
          </w:tcPr>
          <w:p w14:paraId="43A536B1">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白班8小时，周末及法定节假日至少1人在岗</w:t>
            </w:r>
          </w:p>
        </w:tc>
      </w:tr>
      <w:tr w14:paraId="67B1AE16">
        <w:tblPrEx>
          <w:tblCellMar>
            <w:top w:w="0" w:type="dxa"/>
            <w:left w:w="108" w:type="dxa"/>
            <w:bottom w:w="0" w:type="dxa"/>
            <w:right w:w="108" w:type="dxa"/>
          </w:tblCellMar>
        </w:tblPrEx>
        <w:trPr>
          <w:trHeight w:val="660" w:hRule="atLeast"/>
        </w:trPr>
        <w:tc>
          <w:tcPr>
            <w:tcW w:w="573" w:type="dxa"/>
            <w:vMerge w:val="continue"/>
            <w:tcBorders>
              <w:top w:val="single" w:color="000000" w:sz="4" w:space="0"/>
              <w:left w:val="single" w:color="000000" w:sz="4" w:space="0"/>
              <w:bottom w:val="single" w:color="000000" w:sz="4" w:space="0"/>
              <w:right w:val="single" w:color="000000" w:sz="4" w:space="0"/>
            </w:tcBorders>
            <w:vAlign w:val="center"/>
          </w:tcPr>
          <w:p w14:paraId="2DEB1722">
            <w:pPr>
              <w:jc w:val="center"/>
              <w:rPr>
                <w:rFonts w:hint="eastAsia" w:ascii="宋体" w:hAnsi="宋体" w:cs="宋体"/>
                <w:color w:val="auto"/>
                <w:szCs w:val="21"/>
                <w:highlight w:val="none"/>
              </w:rPr>
            </w:pPr>
          </w:p>
        </w:tc>
        <w:tc>
          <w:tcPr>
            <w:tcW w:w="1125" w:type="dxa"/>
            <w:vMerge w:val="continue"/>
            <w:tcBorders>
              <w:top w:val="single" w:color="000000" w:sz="4" w:space="0"/>
              <w:left w:val="single" w:color="000000" w:sz="4" w:space="0"/>
              <w:bottom w:val="single" w:color="000000" w:sz="4" w:space="0"/>
              <w:right w:val="single" w:color="000000" w:sz="4" w:space="0"/>
            </w:tcBorders>
            <w:vAlign w:val="center"/>
          </w:tcPr>
          <w:p w14:paraId="2EE34972">
            <w:pPr>
              <w:jc w:val="center"/>
              <w:rPr>
                <w:rFonts w:hint="eastAsia" w:ascii="宋体" w:hAnsi="宋体" w:cs="宋体"/>
                <w:color w:val="auto"/>
                <w:szCs w:val="21"/>
                <w:highlight w:val="none"/>
              </w:rPr>
            </w:pPr>
          </w:p>
        </w:tc>
        <w:tc>
          <w:tcPr>
            <w:tcW w:w="1110" w:type="dxa"/>
            <w:vMerge w:val="continue"/>
            <w:tcBorders>
              <w:top w:val="single" w:color="000000" w:sz="4" w:space="0"/>
              <w:left w:val="single" w:color="000000" w:sz="4" w:space="0"/>
              <w:bottom w:val="single" w:color="000000" w:sz="4" w:space="0"/>
              <w:right w:val="single" w:color="000000" w:sz="4" w:space="0"/>
            </w:tcBorders>
            <w:vAlign w:val="center"/>
          </w:tcPr>
          <w:p w14:paraId="608568F0">
            <w:pPr>
              <w:jc w:val="center"/>
              <w:rPr>
                <w:rFonts w:hint="eastAsia" w:ascii="宋体" w:hAnsi="宋体" w:cs="宋体"/>
                <w:color w:val="auto"/>
                <w:szCs w:val="21"/>
                <w:highlight w:val="none"/>
              </w:rPr>
            </w:pPr>
          </w:p>
        </w:tc>
        <w:tc>
          <w:tcPr>
            <w:tcW w:w="1410" w:type="dxa"/>
            <w:tcBorders>
              <w:top w:val="single" w:color="000000" w:sz="4" w:space="0"/>
              <w:left w:val="single" w:color="000000" w:sz="4" w:space="0"/>
              <w:bottom w:val="single" w:color="000000" w:sz="4" w:space="0"/>
              <w:right w:val="single" w:color="000000" w:sz="4" w:space="0"/>
            </w:tcBorders>
            <w:vAlign w:val="center"/>
          </w:tcPr>
          <w:p w14:paraId="7917A6CF">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帮厨</w:t>
            </w:r>
          </w:p>
        </w:tc>
        <w:tc>
          <w:tcPr>
            <w:tcW w:w="960" w:type="dxa"/>
            <w:tcBorders>
              <w:top w:val="single" w:color="000000" w:sz="4" w:space="0"/>
              <w:left w:val="single" w:color="000000" w:sz="4" w:space="0"/>
              <w:bottom w:val="single" w:color="000000" w:sz="4" w:space="0"/>
              <w:right w:val="single" w:color="000000" w:sz="4" w:space="0"/>
            </w:tcBorders>
            <w:vAlign w:val="center"/>
          </w:tcPr>
          <w:p w14:paraId="1B675B6C">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6</w:t>
            </w:r>
          </w:p>
        </w:tc>
        <w:tc>
          <w:tcPr>
            <w:tcW w:w="1350" w:type="dxa"/>
            <w:tcBorders>
              <w:top w:val="single" w:color="000000" w:sz="4" w:space="0"/>
              <w:left w:val="single" w:color="000000" w:sz="4" w:space="0"/>
              <w:bottom w:val="single" w:color="000000" w:sz="4" w:space="0"/>
              <w:right w:val="single" w:color="000000" w:sz="4" w:space="0"/>
            </w:tcBorders>
            <w:vAlign w:val="center"/>
          </w:tcPr>
          <w:p w14:paraId="672AFA66">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6</w:t>
            </w:r>
          </w:p>
        </w:tc>
        <w:tc>
          <w:tcPr>
            <w:tcW w:w="2295" w:type="dxa"/>
            <w:tcBorders>
              <w:top w:val="single" w:color="000000" w:sz="4" w:space="0"/>
              <w:left w:val="single" w:color="000000" w:sz="4" w:space="0"/>
              <w:bottom w:val="single" w:color="000000" w:sz="4" w:space="0"/>
              <w:right w:val="single" w:color="000000" w:sz="4" w:space="0"/>
            </w:tcBorders>
            <w:vAlign w:val="center"/>
          </w:tcPr>
          <w:p w14:paraId="76D515C9">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白班8小时，周末及法定节假日至少3人在岗</w:t>
            </w:r>
          </w:p>
        </w:tc>
      </w:tr>
      <w:tr w14:paraId="1D143233">
        <w:tblPrEx>
          <w:tblCellMar>
            <w:top w:w="0" w:type="dxa"/>
            <w:left w:w="108" w:type="dxa"/>
            <w:bottom w:w="0" w:type="dxa"/>
            <w:right w:w="108" w:type="dxa"/>
          </w:tblCellMar>
        </w:tblPrEx>
        <w:trPr>
          <w:trHeight w:val="660" w:hRule="atLeast"/>
        </w:trPr>
        <w:tc>
          <w:tcPr>
            <w:tcW w:w="573" w:type="dxa"/>
            <w:vMerge w:val="continue"/>
            <w:tcBorders>
              <w:top w:val="single" w:color="000000" w:sz="4" w:space="0"/>
              <w:left w:val="single" w:color="000000" w:sz="4" w:space="0"/>
              <w:bottom w:val="single" w:color="000000" w:sz="4" w:space="0"/>
              <w:right w:val="single" w:color="000000" w:sz="4" w:space="0"/>
            </w:tcBorders>
            <w:vAlign w:val="center"/>
          </w:tcPr>
          <w:p w14:paraId="26707BC1">
            <w:pPr>
              <w:jc w:val="center"/>
              <w:rPr>
                <w:rFonts w:hint="eastAsia" w:ascii="宋体" w:hAnsi="宋体" w:cs="宋体"/>
                <w:color w:val="auto"/>
                <w:szCs w:val="21"/>
                <w:highlight w:val="none"/>
              </w:rPr>
            </w:pPr>
          </w:p>
        </w:tc>
        <w:tc>
          <w:tcPr>
            <w:tcW w:w="1125" w:type="dxa"/>
            <w:vMerge w:val="continue"/>
            <w:tcBorders>
              <w:top w:val="single" w:color="000000" w:sz="4" w:space="0"/>
              <w:left w:val="single" w:color="000000" w:sz="4" w:space="0"/>
              <w:bottom w:val="single" w:color="000000" w:sz="4" w:space="0"/>
              <w:right w:val="single" w:color="000000" w:sz="4" w:space="0"/>
            </w:tcBorders>
            <w:vAlign w:val="center"/>
          </w:tcPr>
          <w:p w14:paraId="444854F5">
            <w:pPr>
              <w:jc w:val="center"/>
              <w:rPr>
                <w:rFonts w:hint="eastAsia" w:ascii="宋体" w:hAnsi="宋体" w:cs="宋体"/>
                <w:color w:val="auto"/>
                <w:szCs w:val="21"/>
                <w:highlight w:val="none"/>
              </w:rPr>
            </w:pPr>
          </w:p>
        </w:tc>
        <w:tc>
          <w:tcPr>
            <w:tcW w:w="1110" w:type="dxa"/>
            <w:vMerge w:val="continue"/>
            <w:tcBorders>
              <w:top w:val="single" w:color="000000" w:sz="4" w:space="0"/>
              <w:left w:val="single" w:color="000000" w:sz="4" w:space="0"/>
              <w:bottom w:val="single" w:color="000000" w:sz="4" w:space="0"/>
              <w:right w:val="single" w:color="000000" w:sz="4" w:space="0"/>
            </w:tcBorders>
            <w:vAlign w:val="center"/>
          </w:tcPr>
          <w:p w14:paraId="25F01D89">
            <w:pPr>
              <w:jc w:val="center"/>
              <w:rPr>
                <w:rFonts w:hint="eastAsia" w:ascii="宋体" w:hAnsi="宋体" w:cs="宋体"/>
                <w:color w:val="auto"/>
                <w:szCs w:val="21"/>
                <w:highlight w:val="none"/>
              </w:rPr>
            </w:pPr>
          </w:p>
        </w:tc>
        <w:tc>
          <w:tcPr>
            <w:tcW w:w="1410" w:type="dxa"/>
            <w:tcBorders>
              <w:top w:val="single" w:color="000000" w:sz="4" w:space="0"/>
              <w:left w:val="single" w:color="000000" w:sz="4" w:space="0"/>
              <w:bottom w:val="single" w:color="000000" w:sz="4" w:space="0"/>
              <w:right w:val="single" w:color="000000" w:sz="4" w:space="0"/>
            </w:tcBorders>
            <w:vAlign w:val="center"/>
          </w:tcPr>
          <w:p w14:paraId="07A9E524">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早餐/送餐</w:t>
            </w:r>
          </w:p>
        </w:tc>
        <w:tc>
          <w:tcPr>
            <w:tcW w:w="960" w:type="dxa"/>
            <w:tcBorders>
              <w:top w:val="single" w:color="000000" w:sz="4" w:space="0"/>
              <w:left w:val="single" w:color="000000" w:sz="4" w:space="0"/>
              <w:bottom w:val="single" w:color="000000" w:sz="4" w:space="0"/>
              <w:right w:val="single" w:color="000000" w:sz="4" w:space="0"/>
            </w:tcBorders>
            <w:vAlign w:val="center"/>
          </w:tcPr>
          <w:p w14:paraId="1BC85DC9">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2</w:t>
            </w:r>
          </w:p>
        </w:tc>
        <w:tc>
          <w:tcPr>
            <w:tcW w:w="1350" w:type="dxa"/>
            <w:tcBorders>
              <w:top w:val="single" w:color="000000" w:sz="4" w:space="0"/>
              <w:left w:val="single" w:color="000000" w:sz="4" w:space="0"/>
              <w:bottom w:val="single" w:color="000000" w:sz="4" w:space="0"/>
              <w:right w:val="single" w:color="000000" w:sz="4" w:space="0"/>
            </w:tcBorders>
            <w:vAlign w:val="center"/>
          </w:tcPr>
          <w:p w14:paraId="70C2BB56">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6</w:t>
            </w:r>
          </w:p>
        </w:tc>
        <w:tc>
          <w:tcPr>
            <w:tcW w:w="2295" w:type="dxa"/>
            <w:tcBorders>
              <w:top w:val="single" w:color="000000" w:sz="4" w:space="0"/>
              <w:left w:val="single" w:color="000000" w:sz="4" w:space="0"/>
              <w:bottom w:val="single" w:color="000000" w:sz="4" w:space="0"/>
              <w:right w:val="single" w:color="000000" w:sz="4" w:space="0"/>
            </w:tcBorders>
            <w:vAlign w:val="center"/>
          </w:tcPr>
          <w:p w14:paraId="7999D1D8">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周末及法定节假日至少1人在岗</w:t>
            </w:r>
          </w:p>
        </w:tc>
      </w:tr>
      <w:tr w14:paraId="5EA62381">
        <w:tblPrEx>
          <w:tblCellMar>
            <w:top w:w="0" w:type="dxa"/>
            <w:left w:w="108" w:type="dxa"/>
            <w:bottom w:w="0" w:type="dxa"/>
            <w:right w:w="108" w:type="dxa"/>
          </w:tblCellMar>
        </w:tblPrEx>
        <w:trPr>
          <w:trHeight w:val="660" w:hRule="atLeast"/>
        </w:trPr>
        <w:tc>
          <w:tcPr>
            <w:tcW w:w="573" w:type="dxa"/>
            <w:tcBorders>
              <w:top w:val="single" w:color="000000" w:sz="4" w:space="0"/>
              <w:left w:val="single" w:color="000000" w:sz="4" w:space="0"/>
              <w:bottom w:val="single" w:color="000000" w:sz="4" w:space="0"/>
              <w:right w:val="single" w:color="000000" w:sz="4" w:space="0"/>
            </w:tcBorders>
            <w:vAlign w:val="center"/>
          </w:tcPr>
          <w:p w14:paraId="2AD68334">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7</w:t>
            </w:r>
          </w:p>
        </w:tc>
        <w:tc>
          <w:tcPr>
            <w:tcW w:w="1125" w:type="dxa"/>
            <w:tcBorders>
              <w:top w:val="single" w:color="000000" w:sz="4" w:space="0"/>
              <w:left w:val="single" w:color="000000" w:sz="4" w:space="0"/>
              <w:bottom w:val="single" w:color="000000" w:sz="4" w:space="0"/>
              <w:right w:val="single" w:color="000000" w:sz="4" w:space="0"/>
            </w:tcBorders>
            <w:vAlign w:val="center"/>
          </w:tcPr>
          <w:p w14:paraId="02742FF8">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药房</w:t>
            </w:r>
          </w:p>
        </w:tc>
        <w:tc>
          <w:tcPr>
            <w:tcW w:w="1110" w:type="dxa"/>
            <w:tcBorders>
              <w:top w:val="single" w:color="000000" w:sz="4" w:space="0"/>
              <w:left w:val="single" w:color="000000" w:sz="4" w:space="0"/>
              <w:bottom w:val="single" w:color="000000" w:sz="4" w:space="0"/>
              <w:right w:val="single" w:color="000000" w:sz="4" w:space="0"/>
            </w:tcBorders>
            <w:vAlign w:val="center"/>
          </w:tcPr>
          <w:p w14:paraId="3E60FAE9">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1</w:t>
            </w:r>
          </w:p>
        </w:tc>
        <w:tc>
          <w:tcPr>
            <w:tcW w:w="1410" w:type="dxa"/>
            <w:tcBorders>
              <w:top w:val="single" w:color="000000" w:sz="4" w:space="0"/>
              <w:left w:val="single" w:color="000000" w:sz="4" w:space="0"/>
              <w:bottom w:val="single" w:color="000000" w:sz="4" w:space="0"/>
              <w:right w:val="single" w:color="000000" w:sz="4" w:space="0"/>
            </w:tcBorders>
            <w:vAlign w:val="center"/>
          </w:tcPr>
          <w:p w14:paraId="298690DE">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药房辅助人员</w:t>
            </w:r>
          </w:p>
        </w:tc>
        <w:tc>
          <w:tcPr>
            <w:tcW w:w="960" w:type="dxa"/>
            <w:tcBorders>
              <w:top w:val="single" w:color="000000" w:sz="4" w:space="0"/>
              <w:left w:val="single" w:color="000000" w:sz="4" w:space="0"/>
              <w:bottom w:val="single" w:color="000000" w:sz="4" w:space="0"/>
              <w:right w:val="single" w:color="000000" w:sz="4" w:space="0"/>
            </w:tcBorders>
            <w:vAlign w:val="center"/>
          </w:tcPr>
          <w:p w14:paraId="2A70656C">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1</w:t>
            </w:r>
          </w:p>
        </w:tc>
        <w:tc>
          <w:tcPr>
            <w:tcW w:w="1350" w:type="dxa"/>
            <w:tcBorders>
              <w:top w:val="single" w:color="000000" w:sz="4" w:space="0"/>
              <w:left w:val="single" w:color="000000" w:sz="4" w:space="0"/>
              <w:bottom w:val="single" w:color="000000" w:sz="4" w:space="0"/>
              <w:right w:val="single" w:color="000000" w:sz="4" w:space="0"/>
            </w:tcBorders>
            <w:vAlign w:val="center"/>
          </w:tcPr>
          <w:p w14:paraId="34EFB2BB">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5</w:t>
            </w:r>
          </w:p>
        </w:tc>
        <w:tc>
          <w:tcPr>
            <w:tcW w:w="2295" w:type="dxa"/>
            <w:tcBorders>
              <w:top w:val="single" w:color="000000" w:sz="4" w:space="0"/>
              <w:left w:val="single" w:color="000000" w:sz="4" w:space="0"/>
              <w:bottom w:val="single" w:color="000000" w:sz="4" w:space="0"/>
              <w:right w:val="single" w:color="000000" w:sz="4" w:space="0"/>
            </w:tcBorders>
            <w:vAlign w:val="center"/>
          </w:tcPr>
          <w:p w14:paraId="6AA8893F">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工作日白班8小时</w:t>
            </w:r>
          </w:p>
        </w:tc>
      </w:tr>
      <w:tr w14:paraId="174BDC4D">
        <w:tblPrEx>
          <w:tblCellMar>
            <w:top w:w="0" w:type="dxa"/>
            <w:left w:w="108" w:type="dxa"/>
            <w:bottom w:w="0" w:type="dxa"/>
            <w:right w:w="108" w:type="dxa"/>
          </w:tblCellMar>
        </w:tblPrEx>
        <w:trPr>
          <w:trHeight w:val="660" w:hRule="atLeast"/>
        </w:trPr>
        <w:tc>
          <w:tcPr>
            <w:tcW w:w="573" w:type="dxa"/>
            <w:tcBorders>
              <w:top w:val="single" w:color="000000" w:sz="4" w:space="0"/>
              <w:left w:val="single" w:color="000000" w:sz="4" w:space="0"/>
              <w:bottom w:val="single" w:color="000000" w:sz="4" w:space="0"/>
              <w:right w:val="single" w:color="000000" w:sz="4" w:space="0"/>
            </w:tcBorders>
            <w:vAlign w:val="center"/>
          </w:tcPr>
          <w:p w14:paraId="26AD021A">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8</w:t>
            </w:r>
          </w:p>
        </w:tc>
        <w:tc>
          <w:tcPr>
            <w:tcW w:w="1125" w:type="dxa"/>
            <w:tcBorders>
              <w:top w:val="single" w:color="000000" w:sz="4" w:space="0"/>
              <w:left w:val="single" w:color="000000" w:sz="4" w:space="0"/>
              <w:bottom w:val="single" w:color="000000" w:sz="4" w:space="0"/>
              <w:right w:val="single" w:color="000000" w:sz="4" w:space="0"/>
            </w:tcBorders>
            <w:vAlign w:val="center"/>
          </w:tcPr>
          <w:p w14:paraId="56366B0C">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运送</w:t>
            </w:r>
          </w:p>
        </w:tc>
        <w:tc>
          <w:tcPr>
            <w:tcW w:w="1110" w:type="dxa"/>
            <w:tcBorders>
              <w:top w:val="single" w:color="000000" w:sz="4" w:space="0"/>
              <w:left w:val="single" w:color="000000" w:sz="4" w:space="0"/>
              <w:bottom w:val="single" w:color="000000" w:sz="4" w:space="0"/>
              <w:right w:val="single" w:color="000000" w:sz="4" w:space="0"/>
            </w:tcBorders>
            <w:vAlign w:val="center"/>
          </w:tcPr>
          <w:p w14:paraId="00B58FC4">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2</w:t>
            </w:r>
          </w:p>
        </w:tc>
        <w:tc>
          <w:tcPr>
            <w:tcW w:w="1410" w:type="dxa"/>
            <w:tcBorders>
              <w:top w:val="single" w:color="000000" w:sz="4" w:space="0"/>
              <w:left w:val="single" w:color="000000" w:sz="4" w:space="0"/>
              <w:bottom w:val="single" w:color="000000" w:sz="4" w:space="0"/>
              <w:right w:val="single" w:color="000000" w:sz="4" w:space="0"/>
            </w:tcBorders>
            <w:vAlign w:val="center"/>
          </w:tcPr>
          <w:p w14:paraId="505914F7">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标本运送</w:t>
            </w:r>
          </w:p>
        </w:tc>
        <w:tc>
          <w:tcPr>
            <w:tcW w:w="960" w:type="dxa"/>
            <w:tcBorders>
              <w:top w:val="single" w:color="000000" w:sz="4" w:space="0"/>
              <w:left w:val="single" w:color="000000" w:sz="4" w:space="0"/>
              <w:bottom w:val="single" w:color="000000" w:sz="4" w:space="0"/>
              <w:right w:val="single" w:color="000000" w:sz="4" w:space="0"/>
            </w:tcBorders>
            <w:vAlign w:val="center"/>
          </w:tcPr>
          <w:p w14:paraId="04861B81">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2</w:t>
            </w:r>
          </w:p>
        </w:tc>
        <w:tc>
          <w:tcPr>
            <w:tcW w:w="1350" w:type="dxa"/>
            <w:tcBorders>
              <w:top w:val="single" w:color="000000" w:sz="4" w:space="0"/>
              <w:left w:val="single" w:color="000000" w:sz="4" w:space="0"/>
              <w:bottom w:val="single" w:color="000000" w:sz="4" w:space="0"/>
              <w:right w:val="single" w:color="000000" w:sz="4" w:space="0"/>
            </w:tcBorders>
            <w:vAlign w:val="center"/>
          </w:tcPr>
          <w:p w14:paraId="27D9E5A7">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6</w:t>
            </w:r>
          </w:p>
        </w:tc>
        <w:tc>
          <w:tcPr>
            <w:tcW w:w="2295" w:type="dxa"/>
            <w:tcBorders>
              <w:top w:val="single" w:color="000000" w:sz="4" w:space="0"/>
              <w:left w:val="single" w:color="000000" w:sz="4" w:space="0"/>
              <w:bottom w:val="single" w:color="000000" w:sz="4" w:space="0"/>
              <w:right w:val="single" w:color="000000" w:sz="4" w:space="0"/>
            </w:tcBorders>
            <w:vAlign w:val="center"/>
          </w:tcPr>
          <w:p w14:paraId="6D4BFD93">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白班8小时，周末及法定节假日至少1人在岗</w:t>
            </w:r>
          </w:p>
        </w:tc>
      </w:tr>
      <w:tr w14:paraId="4EFF51EF">
        <w:tblPrEx>
          <w:tblCellMar>
            <w:top w:w="0" w:type="dxa"/>
            <w:left w:w="108" w:type="dxa"/>
            <w:bottom w:w="0" w:type="dxa"/>
            <w:right w:w="108" w:type="dxa"/>
          </w:tblCellMar>
        </w:tblPrEx>
        <w:trPr>
          <w:trHeight w:val="660" w:hRule="atLeast"/>
        </w:trPr>
        <w:tc>
          <w:tcPr>
            <w:tcW w:w="573" w:type="dxa"/>
            <w:tcBorders>
              <w:top w:val="single" w:color="000000" w:sz="4" w:space="0"/>
              <w:left w:val="single" w:color="000000" w:sz="4" w:space="0"/>
              <w:bottom w:val="single" w:color="000000" w:sz="4" w:space="0"/>
              <w:right w:val="single" w:color="000000" w:sz="4" w:space="0"/>
            </w:tcBorders>
            <w:vAlign w:val="center"/>
          </w:tcPr>
          <w:p w14:paraId="544F3F07">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9</w:t>
            </w:r>
          </w:p>
        </w:tc>
        <w:tc>
          <w:tcPr>
            <w:tcW w:w="1125" w:type="dxa"/>
            <w:tcBorders>
              <w:top w:val="single" w:color="000000" w:sz="4" w:space="0"/>
              <w:left w:val="single" w:color="000000" w:sz="4" w:space="0"/>
              <w:bottom w:val="single" w:color="000000" w:sz="4" w:space="0"/>
              <w:right w:val="single" w:color="000000" w:sz="4" w:space="0"/>
            </w:tcBorders>
            <w:vAlign w:val="center"/>
          </w:tcPr>
          <w:p w14:paraId="7F31CD33">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污水处理</w:t>
            </w:r>
          </w:p>
        </w:tc>
        <w:tc>
          <w:tcPr>
            <w:tcW w:w="1110" w:type="dxa"/>
            <w:tcBorders>
              <w:top w:val="single" w:color="000000" w:sz="4" w:space="0"/>
              <w:left w:val="single" w:color="000000" w:sz="4" w:space="0"/>
              <w:bottom w:val="single" w:color="000000" w:sz="4" w:space="0"/>
              <w:right w:val="single" w:color="000000" w:sz="4" w:space="0"/>
            </w:tcBorders>
            <w:vAlign w:val="center"/>
          </w:tcPr>
          <w:p w14:paraId="349A1FAE">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1</w:t>
            </w:r>
          </w:p>
        </w:tc>
        <w:tc>
          <w:tcPr>
            <w:tcW w:w="1410" w:type="dxa"/>
            <w:tcBorders>
              <w:top w:val="single" w:color="000000" w:sz="4" w:space="0"/>
              <w:left w:val="single" w:color="000000" w:sz="4" w:space="0"/>
              <w:bottom w:val="single" w:color="000000" w:sz="4" w:space="0"/>
              <w:right w:val="single" w:color="000000" w:sz="4" w:space="0"/>
            </w:tcBorders>
            <w:vAlign w:val="center"/>
          </w:tcPr>
          <w:p w14:paraId="17BE1D52">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污水处理员</w:t>
            </w:r>
          </w:p>
        </w:tc>
        <w:tc>
          <w:tcPr>
            <w:tcW w:w="960" w:type="dxa"/>
            <w:tcBorders>
              <w:top w:val="single" w:color="000000" w:sz="4" w:space="0"/>
              <w:left w:val="single" w:color="000000" w:sz="4" w:space="0"/>
              <w:bottom w:val="single" w:color="000000" w:sz="4" w:space="0"/>
              <w:right w:val="single" w:color="000000" w:sz="4" w:space="0"/>
            </w:tcBorders>
            <w:vAlign w:val="center"/>
          </w:tcPr>
          <w:p w14:paraId="737794B9">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1</w:t>
            </w:r>
          </w:p>
        </w:tc>
        <w:tc>
          <w:tcPr>
            <w:tcW w:w="1350" w:type="dxa"/>
            <w:tcBorders>
              <w:top w:val="single" w:color="000000" w:sz="4" w:space="0"/>
              <w:left w:val="single" w:color="000000" w:sz="4" w:space="0"/>
              <w:bottom w:val="single" w:color="000000" w:sz="4" w:space="0"/>
              <w:right w:val="single" w:color="000000" w:sz="4" w:space="0"/>
            </w:tcBorders>
            <w:vAlign w:val="center"/>
          </w:tcPr>
          <w:p w14:paraId="4D91776A">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6</w:t>
            </w:r>
          </w:p>
        </w:tc>
        <w:tc>
          <w:tcPr>
            <w:tcW w:w="2295" w:type="dxa"/>
            <w:tcBorders>
              <w:top w:val="single" w:color="000000" w:sz="4" w:space="0"/>
              <w:left w:val="single" w:color="000000" w:sz="4" w:space="0"/>
              <w:bottom w:val="single" w:color="000000" w:sz="4" w:space="0"/>
              <w:right w:val="single" w:color="000000" w:sz="4" w:space="0"/>
            </w:tcBorders>
            <w:vAlign w:val="center"/>
          </w:tcPr>
          <w:p w14:paraId="609F013C">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工作日白班8小时，周末及法定节假日由机动人员顶岗</w:t>
            </w:r>
          </w:p>
        </w:tc>
      </w:tr>
      <w:tr w14:paraId="308261F7">
        <w:tblPrEx>
          <w:tblCellMar>
            <w:top w:w="0" w:type="dxa"/>
            <w:left w:w="108" w:type="dxa"/>
            <w:bottom w:w="0" w:type="dxa"/>
            <w:right w:w="108" w:type="dxa"/>
          </w:tblCellMar>
        </w:tblPrEx>
        <w:trPr>
          <w:trHeight w:val="624" w:hRule="atLeast"/>
        </w:trPr>
        <w:tc>
          <w:tcPr>
            <w:tcW w:w="573" w:type="dxa"/>
            <w:tcBorders>
              <w:top w:val="single" w:color="000000" w:sz="4" w:space="0"/>
              <w:left w:val="single" w:color="000000" w:sz="4" w:space="0"/>
              <w:bottom w:val="single" w:color="000000" w:sz="4" w:space="0"/>
              <w:right w:val="single" w:color="000000" w:sz="4" w:space="0"/>
            </w:tcBorders>
            <w:vAlign w:val="center"/>
          </w:tcPr>
          <w:p w14:paraId="33F71052">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10</w:t>
            </w:r>
          </w:p>
        </w:tc>
        <w:tc>
          <w:tcPr>
            <w:tcW w:w="1125" w:type="dxa"/>
            <w:tcBorders>
              <w:top w:val="single" w:color="000000" w:sz="4" w:space="0"/>
              <w:left w:val="single" w:color="000000" w:sz="4" w:space="0"/>
              <w:bottom w:val="single" w:color="000000" w:sz="4" w:space="0"/>
              <w:right w:val="single" w:color="000000" w:sz="4" w:space="0"/>
            </w:tcBorders>
            <w:vAlign w:val="center"/>
          </w:tcPr>
          <w:p w14:paraId="2839F31B">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机动</w:t>
            </w:r>
          </w:p>
        </w:tc>
        <w:tc>
          <w:tcPr>
            <w:tcW w:w="1110" w:type="dxa"/>
            <w:tcBorders>
              <w:top w:val="single" w:color="000000" w:sz="4" w:space="0"/>
              <w:left w:val="single" w:color="000000" w:sz="4" w:space="0"/>
              <w:bottom w:val="single" w:color="000000" w:sz="4" w:space="0"/>
              <w:right w:val="single" w:color="000000" w:sz="4" w:space="0"/>
            </w:tcBorders>
            <w:vAlign w:val="center"/>
          </w:tcPr>
          <w:p w14:paraId="52301A11">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5</w:t>
            </w:r>
          </w:p>
        </w:tc>
        <w:tc>
          <w:tcPr>
            <w:tcW w:w="1410" w:type="dxa"/>
            <w:tcBorders>
              <w:top w:val="single" w:color="000000" w:sz="4" w:space="0"/>
              <w:left w:val="single" w:color="000000" w:sz="4" w:space="0"/>
              <w:bottom w:val="single" w:color="000000" w:sz="4" w:space="0"/>
              <w:right w:val="single" w:color="000000" w:sz="4" w:space="0"/>
            </w:tcBorders>
            <w:vAlign w:val="center"/>
          </w:tcPr>
          <w:p w14:paraId="1A64CE0D">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机动人员</w:t>
            </w:r>
          </w:p>
        </w:tc>
        <w:tc>
          <w:tcPr>
            <w:tcW w:w="960" w:type="dxa"/>
            <w:tcBorders>
              <w:top w:val="single" w:color="000000" w:sz="4" w:space="0"/>
              <w:left w:val="single" w:color="000000" w:sz="4" w:space="0"/>
              <w:bottom w:val="single" w:color="000000" w:sz="4" w:space="0"/>
              <w:right w:val="single" w:color="000000" w:sz="4" w:space="0"/>
            </w:tcBorders>
            <w:vAlign w:val="center"/>
          </w:tcPr>
          <w:p w14:paraId="28419454">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5</w:t>
            </w:r>
          </w:p>
        </w:tc>
        <w:tc>
          <w:tcPr>
            <w:tcW w:w="1350" w:type="dxa"/>
            <w:tcBorders>
              <w:top w:val="single" w:color="000000" w:sz="4" w:space="0"/>
              <w:left w:val="single" w:color="000000" w:sz="4" w:space="0"/>
              <w:bottom w:val="single" w:color="000000" w:sz="4" w:space="0"/>
              <w:right w:val="single" w:color="000000" w:sz="4" w:space="0"/>
            </w:tcBorders>
            <w:vAlign w:val="center"/>
          </w:tcPr>
          <w:p w14:paraId="76E4188E">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6</w:t>
            </w:r>
          </w:p>
        </w:tc>
        <w:tc>
          <w:tcPr>
            <w:tcW w:w="2295" w:type="dxa"/>
            <w:tcBorders>
              <w:top w:val="single" w:color="000000" w:sz="4" w:space="0"/>
              <w:left w:val="single" w:color="000000" w:sz="4" w:space="0"/>
              <w:bottom w:val="single" w:color="000000" w:sz="4" w:space="0"/>
              <w:right w:val="single" w:color="000000" w:sz="4" w:space="0"/>
            </w:tcBorders>
            <w:vAlign w:val="center"/>
          </w:tcPr>
          <w:p w14:paraId="278EE8B6">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周末及法定节假日至少2人在岗</w:t>
            </w:r>
          </w:p>
        </w:tc>
      </w:tr>
      <w:tr w14:paraId="555145A7">
        <w:tblPrEx>
          <w:tblCellMar>
            <w:top w:w="0" w:type="dxa"/>
            <w:left w:w="108" w:type="dxa"/>
            <w:bottom w:w="0" w:type="dxa"/>
            <w:right w:w="108" w:type="dxa"/>
          </w:tblCellMar>
        </w:tblPrEx>
        <w:trPr>
          <w:trHeight w:val="660" w:hRule="atLeast"/>
        </w:trPr>
        <w:tc>
          <w:tcPr>
            <w:tcW w:w="1698" w:type="dxa"/>
            <w:gridSpan w:val="2"/>
            <w:tcBorders>
              <w:top w:val="single" w:color="000000" w:sz="4" w:space="0"/>
              <w:left w:val="single" w:color="000000" w:sz="4" w:space="0"/>
              <w:bottom w:val="single" w:color="000000" w:sz="4" w:space="0"/>
              <w:right w:val="single" w:color="000000" w:sz="4" w:space="0"/>
            </w:tcBorders>
            <w:vAlign w:val="center"/>
          </w:tcPr>
          <w:p w14:paraId="14F4FE06">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合计（人）</w:t>
            </w:r>
          </w:p>
        </w:tc>
        <w:tc>
          <w:tcPr>
            <w:tcW w:w="1110" w:type="dxa"/>
            <w:tcBorders>
              <w:top w:val="single" w:color="000000" w:sz="4" w:space="0"/>
              <w:left w:val="single" w:color="000000" w:sz="4" w:space="0"/>
              <w:bottom w:val="single" w:color="000000" w:sz="4" w:space="0"/>
              <w:right w:val="single" w:color="000000" w:sz="4" w:space="0"/>
            </w:tcBorders>
            <w:vAlign w:val="center"/>
          </w:tcPr>
          <w:p w14:paraId="15C1F5FD">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48</w:t>
            </w:r>
          </w:p>
        </w:tc>
        <w:tc>
          <w:tcPr>
            <w:tcW w:w="1410" w:type="dxa"/>
            <w:tcBorders>
              <w:top w:val="single" w:color="000000" w:sz="4" w:space="0"/>
              <w:left w:val="single" w:color="000000" w:sz="4" w:space="0"/>
              <w:bottom w:val="single" w:color="000000" w:sz="4" w:space="0"/>
              <w:right w:val="single" w:color="000000" w:sz="4" w:space="0"/>
            </w:tcBorders>
            <w:vAlign w:val="center"/>
          </w:tcPr>
          <w:p w14:paraId="4D069B2A">
            <w:pPr>
              <w:jc w:val="center"/>
              <w:rPr>
                <w:rFonts w:hint="eastAsia" w:ascii="宋体" w:hAnsi="宋体" w:cs="宋体"/>
                <w:color w:val="auto"/>
                <w:szCs w:val="21"/>
                <w:highlight w:val="none"/>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117B7333">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48</w:t>
            </w:r>
          </w:p>
        </w:tc>
        <w:tc>
          <w:tcPr>
            <w:tcW w:w="1350" w:type="dxa"/>
            <w:tcBorders>
              <w:top w:val="single" w:color="000000" w:sz="4" w:space="0"/>
              <w:left w:val="single" w:color="000000" w:sz="4" w:space="0"/>
              <w:bottom w:val="single" w:color="000000" w:sz="4" w:space="0"/>
              <w:right w:val="single" w:color="000000" w:sz="4" w:space="0"/>
            </w:tcBorders>
            <w:vAlign w:val="center"/>
          </w:tcPr>
          <w:p w14:paraId="47FF364E">
            <w:pPr>
              <w:jc w:val="center"/>
              <w:rPr>
                <w:rFonts w:hint="eastAsia" w:ascii="宋体" w:hAnsi="宋体" w:cs="宋体"/>
                <w:color w:val="auto"/>
                <w:szCs w:val="21"/>
                <w:highlight w:val="none"/>
              </w:rPr>
            </w:pPr>
          </w:p>
        </w:tc>
        <w:tc>
          <w:tcPr>
            <w:tcW w:w="2295" w:type="dxa"/>
            <w:tcBorders>
              <w:top w:val="single" w:color="000000" w:sz="4" w:space="0"/>
              <w:left w:val="single" w:color="000000" w:sz="4" w:space="0"/>
              <w:bottom w:val="single" w:color="000000" w:sz="4" w:space="0"/>
              <w:right w:val="single" w:color="000000" w:sz="4" w:space="0"/>
            </w:tcBorders>
            <w:vAlign w:val="center"/>
          </w:tcPr>
          <w:p w14:paraId="24D332D1">
            <w:pPr>
              <w:jc w:val="center"/>
              <w:rPr>
                <w:rFonts w:hint="eastAsia" w:ascii="宋体" w:hAnsi="宋体" w:cs="宋体"/>
                <w:color w:val="auto"/>
                <w:szCs w:val="21"/>
                <w:highlight w:val="none"/>
              </w:rPr>
            </w:pPr>
          </w:p>
        </w:tc>
      </w:tr>
      <w:tr w14:paraId="131BA946">
        <w:tblPrEx>
          <w:tblCellMar>
            <w:top w:w="0" w:type="dxa"/>
            <w:left w:w="108" w:type="dxa"/>
            <w:bottom w:w="0" w:type="dxa"/>
            <w:right w:w="108" w:type="dxa"/>
          </w:tblCellMar>
        </w:tblPrEx>
        <w:trPr>
          <w:trHeight w:val="1509" w:hRule="atLeast"/>
        </w:trPr>
        <w:tc>
          <w:tcPr>
            <w:tcW w:w="8823" w:type="dxa"/>
            <w:gridSpan w:val="7"/>
            <w:tcBorders>
              <w:top w:val="single" w:color="000000" w:sz="4" w:space="0"/>
              <w:left w:val="single" w:color="000000" w:sz="4" w:space="0"/>
              <w:bottom w:val="single" w:color="000000" w:sz="4" w:space="0"/>
              <w:right w:val="single" w:color="000000" w:sz="4" w:space="0"/>
            </w:tcBorders>
            <w:vAlign w:val="center"/>
          </w:tcPr>
          <w:p w14:paraId="29EA0DAF">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说明：1、员工工作时间按每周六天计算；2、表内周工作时间为该岗位工作时间，涉及岗位间调配（岗位周工作时间如超出六天，由机动人员或其他周工时间不足六天人员调配）；3、法定国假日期间由项目经理、病区主管及文员轮流值班，每日1人在岗。4、所有岗位人员均不超60周岁。</w:t>
            </w:r>
          </w:p>
        </w:tc>
      </w:tr>
    </w:tbl>
    <w:p w14:paraId="2739ACD6">
      <w:pPr>
        <w:pStyle w:val="16"/>
        <w:spacing w:line="360" w:lineRule="auto"/>
        <w:ind w:firstLine="0"/>
        <w:rPr>
          <w:rFonts w:hint="eastAsia" w:ascii="宋体" w:hAnsi="宋体" w:cs="宋体"/>
          <w:color w:val="auto"/>
          <w:highlight w:val="none"/>
        </w:rPr>
      </w:pPr>
      <w:r>
        <w:rPr>
          <w:rFonts w:hint="eastAsia"/>
          <w:b/>
          <w:bCs/>
          <w:color w:val="auto"/>
          <w:sz w:val="21"/>
          <w:szCs w:val="21"/>
          <w:highlight w:val="none"/>
          <w:u w:val="single"/>
        </w:rPr>
        <w:t>★响应单位须作出在成交公告发布之日起</w:t>
      </w:r>
      <w:r>
        <w:rPr>
          <w:rFonts w:hint="eastAsia" w:ascii="宋体" w:hAnsi="宋体" w:cs="宋体"/>
          <w:b/>
          <w:color w:val="auto"/>
          <w:sz w:val="21"/>
          <w:szCs w:val="21"/>
          <w:highlight w:val="none"/>
          <w:u w:val="single"/>
        </w:rPr>
        <w:t>7日内进场人数达到</w:t>
      </w:r>
      <w:r>
        <w:rPr>
          <w:rFonts w:hint="eastAsia"/>
          <w:b/>
          <w:bCs/>
          <w:color w:val="auto"/>
          <w:sz w:val="21"/>
          <w:szCs w:val="21"/>
          <w:highlight w:val="none"/>
          <w:u w:val="single"/>
        </w:rPr>
        <w:t>本项目要求100%的承诺，承诺函加盖响应单位公章上传至实质性条款中，否则为无效响应文件。</w:t>
      </w:r>
    </w:p>
    <w:p w14:paraId="6AA84F61">
      <w:pPr>
        <w:numPr>
          <w:ilvl w:val="0"/>
          <w:numId w:val="6"/>
        </w:numPr>
        <w:spacing w:line="360" w:lineRule="auto"/>
        <w:ind w:right="-161" w:firstLine="420"/>
        <w:rPr>
          <w:rFonts w:hint="eastAsia" w:ascii="宋体" w:hAnsi="宋体" w:cs="宋体"/>
          <w:color w:val="auto"/>
          <w:highlight w:val="none"/>
        </w:rPr>
      </w:pPr>
      <w:r>
        <w:rPr>
          <w:rFonts w:hint="eastAsia" w:ascii="宋体" w:hAnsi="宋体" w:cs="宋体"/>
          <w:color w:val="auto"/>
          <w:highlight w:val="none"/>
        </w:rPr>
        <w:t>服务总体要求：</w:t>
      </w:r>
    </w:p>
    <w:p w14:paraId="55FA1A92">
      <w:pPr>
        <w:spacing w:line="360" w:lineRule="auto"/>
        <w:rPr>
          <w:rFonts w:hint="eastAsia" w:ascii="宋体" w:hAnsi="宋体"/>
          <w:color w:val="auto"/>
          <w:highlight w:val="none"/>
        </w:rPr>
      </w:pPr>
      <w:r>
        <w:rPr>
          <w:rFonts w:hint="eastAsia" w:ascii="宋体" w:hAnsi="宋体"/>
          <w:color w:val="auto"/>
          <w:highlight w:val="none"/>
        </w:rPr>
        <w:t>1)项目经理及病区主管岗位职责：</w:t>
      </w:r>
    </w:p>
    <w:p w14:paraId="76DA472D">
      <w:pPr>
        <w:spacing w:line="360" w:lineRule="auto"/>
        <w:rPr>
          <w:rFonts w:hint="eastAsia" w:ascii="宋体" w:hAnsi="宋体"/>
          <w:color w:val="auto"/>
          <w:highlight w:val="none"/>
        </w:rPr>
      </w:pPr>
      <w:r>
        <w:rPr>
          <w:rFonts w:hint="eastAsia" w:ascii="宋体" w:hAnsi="宋体"/>
          <w:color w:val="auto"/>
          <w:highlight w:val="none"/>
        </w:rPr>
        <w:t>（1）具体负责项目的工作质量，保证向院方提供良好的服务；负责服务管理质量的评定和服务水平的提高；</w:t>
      </w:r>
    </w:p>
    <w:p w14:paraId="2EE97805">
      <w:pPr>
        <w:spacing w:line="360" w:lineRule="auto"/>
        <w:rPr>
          <w:rFonts w:hint="eastAsia" w:ascii="宋体" w:hAnsi="宋体"/>
          <w:color w:val="auto"/>
          <w:highlight w:val="none"/>
        </w:rPr>
      </w:pPr>
      <w:r>
        <w:rPr>
          <w:rFonts w:hint="eastAsia" w:ascii="宋体" w:hAnsi="宋体"/>
          <w:color w:val="auto"/>
          <w:highlight w:val="none"/>
        </w:rPr>
        <w:t>（2）协调处理与政府主管部门、院方等各方关系；</w:t>
      </w:r>
    </w:p>
    <w:p w14:paraId="4DAE163B">
      <w:pPr>
        <w:spacing w:line="360" w:lineRule="auto"/>
        <w:rPr>
          <w:rFonts w:hint="eastAsia" w:ascii="宋体" w:hAnsi="宋体"/>
          <w:color w:val="auto"/>
          <w:highlight w:val="none"/>
        </w:rPr>
      </w:pPr>
      <w:r>
        <w:rPr>
          <w:rFonts w:hint="eastAsia" w:ascii="宋体" w:hAnsi="宋体"/>
          <w:color w:val="auto"/>
          <w:highlight w:val="none"/>
        </w:rPr>
        <w:t>（3）负责制定、贯彻、落实本项目岗位责任制，建立并完善各项管理制度；</w:t>
      </w:r>
    </w:p>
    <w:p w14:paraId="2A97BB0A">
      <w:pPr>
        <w:spacing w:line="360" w:lineRule="auto"/>
        <w:rPr>
          <w:rFonts w:hint="eastAsia" w:ascii="宋体" w:hAnsi="宋体"/>
          <w:color w:val="auto"/>
          <w:highlight w:val="none"/>
        </w:rPr>
      </w:pPr>
      <w:r>
        <w:rPr>
          <w:rFonts w:hint="eastAsia" w:ascii="宋体" w:hAnsi="宋体"/>
          <w:color w:val="auto"/>
          <w:highlight w:val="none"/>
        </w:rPr>
        <w:t>（4）负责指导、监督、检查本项目各项工作及下属人员的工作完成情况；负责下属人员合约签订和证件办理；</w:t>
      </w:r>
    </w:p>
    <w:p w14:paraId="19EF2DCD">
      <w:pPr>
        <w:spacing w:line="360" w:lineRule="auto"/>
        <w:rPr>
          <w:rFonts w:hint="eastAsia" w:ascii="宋体" w:hAnsi="宋体"/>
          <w:color w:val="auto"/>
          <w:highlight w:val="none"/>
        </w:rPr>
      </w:pPr>
      <w:r>
        <w:rPr>
          <w:rFonts w:hint="eastAsia" w:ascii="宋体" w:hAnsi="宋体"/>
          <w:color w:val="auto"/>
          <w:highlight w:val="none"/>
        </w:rPr>
        <w:t>（5）负责参与、组织每年的管理质量检查及配合做好质量体系管理评审的有关工作；</w:t>
      </w:r>
    </w:p>
    <w:p w14:paraId="07BCC9AC">
      <w:pPr>
        <w:spacing w:line="360" w:lineRule="auto"/>
        <w:rPr>
          <w:rFonts w:hint="eastAsia" w:ascii="宋体" w:hAnsi="宋体"/>
          <w:color w:val="auto"/>
          <w:highlight w:val="none"/>
        </w:rPr>
      </w:pPr>
      <w:r>
        <w:rPr>
          <w:rFonts w:hint="eastAsia" w:ascii="宋体" w:hAnsi="宋体"/>
          <w:color w:val="auto"/>
          <w:highlight w:val="none"/>
        </w:rPr>
        <w:t>（6）负责监管员工培训工作，提高员工工作能力及业务技能；</w:t>
      </w:r>
    </w:p>
    <w:p w14:paraId="709187CD">
      <w:pPr>
        <w:spacing w:line="360" w:lineRule="auto"/>
        <w:rPr>
          <w:rFonts w:hint="eastAsia" w:ascii="宋体" w:hAnsi="宋体"/>
          <w:color w:val="auto"/>
          <w:highlight w:val="none"/>
        </w:rPr>
      </w:pPr>
      <w:r>
        <w:rPr>
          <w:rFonts w:hint="eastAsia" w:ascii="宋体" w:hAnsi="宋体"/>
          <w:color w:val="auto"/>
          <w:highlight w:val="none"/>
        </w:rPr>
        <w:t>（7）负责受理客户投诉，组织院方意见征询活动，定期了解院方对公司各项服务的意见及建议；对建议、投诉进行跟踪、回访和记录；</w:t>
      </w:r>
    </w:p>
    <w:p w14:paraId="1A13A5C8">
      <w:pPr>
        <w:spacing w:line="360" w:lineRule="auto"/>
        <w:rPr>
          <w:rFonts w:hint="eastAsia" w:ascii="宋体" w:hAnsi="宋体"/>
          <w:color w:val="auto"/>
          <w:highlight w:val="none"/>
        </w:rPr>
      </w:pPr>
      <w:r>
        <w:rPr>
          <w:rFonts w:hint="eastAsia" w:ascii="宋体" w:hAnsi="宋体"/>
          <w:color w:val="auto"/>
          <w:highlight w:val="none"/>
        </w:rPr>
        <w:t>（8）负责项目相关管理文件的建档和归档工作；建立相关台账资料（巡查记录、值勤记录、检查记录等）；</w:t>
      </w:r>
    </w:p>
    <w:p w14:paraId="7ECBA91E">
      <w:pPr>
        <w:spacing w:line="360" w:lineRule="auto"/>
        <w:rPr>
          <w:rFonts w:hint="eastAsia" w:ascii="宋体" w:hAnsi="宋体"/>
          <w:color w:val="auto"/>
          <w:highlight w:val="none"/>
        </w:rPr>
      </w:pPr>
      <w:r>
        <w:rPr>
          <w:rFonts w:hint="eastAsia" w:ascii="宋体" w:hAnsi="宋体"/>
          <w:color w:val="auto"/>
          <w:highlight w:val="none"/>
        </w:rPr>
        <w:t>（9）负责定期检查相关用房安全管理工作，杜绝所辖人员及场所违规使用大功率电器等危险行为；</w:t>
      </w:r>
    </w:p>
    <w:p w14:paraId="6623DE54">
      <w:pPr>
        <w:spacing w:line="360" w:lineRule="auto"/>
        <w:rPr>
          <w:rFonts w:hint="eastAsia" w:ascii="宋体" w:hAnsi="宋体"/>
          <w:color w:val="auto"/>
          <w:highlight w:val="none"/>
        </w:rPr>
      </w:pPr>
      <w:r>
        <w:rPr>
          <w:rFonts w:hint="eastAsia" w:ascii="宋体" w:hAnsi="宋体"/>
          <w:color w:val="auto"/>
          <w:highlight w:val="none"/>
        </w:rPr>
        <w:t>（10）熟悉项目区域分布情况、各部门服务内容及电话号码，负责做好项目与公司上级和业主之间的沟通及协调工作；对外协调各种关系。</w:t>
      </w:r>
    </w:p>
    <w:p w14:paraId="0915353B">
      <w:pPr>
        <w:spacing w:line="360" w:lineRule="auto"/>
        <w:rPr>
          <w:rFonts w:hint="eastAsia" w:ascii="宋体" w:hAnsi="宋体"/>
          <w:color w:val="auto"/>
          <w:highlight w:val="none"/>
        </w:rPr>
      </w:pPr>
      <w:r>
        <w:rPr>
          <w:rFonts w:hint="eastAsia" w:ascii="宋体" w:hAnsi="宋体"/>
          <w:color w:val="auto"/>
          <w:highlight w:val="none"/>
        </w:rPr>
        <w:t>（11）项目经理以本科及以上学历、具有护工证或护理员证（或培训合格证）、具有精神专科护工证（或精神专科护工技能培训考试合格）、具有医院三年以上医院管理经验为优；</w:t>
      </w:r>
    </w:p>
    <w:p w14:paraId="0DA7BD74">
      <w:pPr>
        <w:spacing w:line="360" w:lineRule="auto"/>
        <w:rPr>
          <w:rFonts w:hint="eastAsia" w:ascii="宋体" w:hAnsi="宋体"/>
          <w:color w:val="auto"/>
          <w:highlight w:val="none"/>
        </w:rPr>
      </w:pPr>
      <w:r>
        <w:rPr>
          <w:rFonts w:hint="eastAsia" w:ascii="宋体" w:hAnsi="宋体"/>
          <w:color w:val="auto"/>
          <w:highlight w:val="none"/>
        </w:rPr>
        <w:t>（13）病区主管以大专及以上学历、具有护工证或护理员证（或培训合格证）、具有精神专科护工证（或精神专科护工技能培训考试合格）为优。</w:t>
      </w:r>
    </w:p>
    <w:p w14:paraId="771BB446">
      <w:pPr>
        <w:spacing w:line="360" w:lineRule="auto"/>
        <w:rPr>
          <w:rFonts w:hint="eastAsia" w:ascii="宋体" w:hAnsi="宋体"/>
          <w:color w:val="auto"/>
          <w:highlight w:val="none"/>
        </w:rPr>
      </w:pPr>
      <w:r>
        <w:rPr>
          <w:rFonts w:hint="eastAsia" w:ascii="宋体" w:hAnsi="宋体"/>
          <w:color w:val="auto"/>
          <w:highlight w:val="none"/>
        </w:rPr>
        <w:t>2)文员岗位职责：</w:t>
      </w:r>
    </w:p>
    <w:p w14:paraId="7CDFD6EA">
      <w:pPr>
        <w:spacing w:line="360" w:lineRule="auto"/>
        <w:rPr>
          <w:rFonts w:hint="eastAsia" w:ascii="宋体" w:hAnsi="宋体"/>
          <w:color w:val="auto"/>
          <w:highlight w:val="none"/>
        </w:rPr>
      </w:pPr>
      <w:r>
        <w:rPr>
          <w:rFonts w:hint="eastAsia" w:ascii="宋体" w:hAnsi="宋体"/>
          <w:color w:val="auto"/>
          <w:highlight w:val="none"/>
        </w:rPr>
        <w:t>（1）严格执行岗位责任制及安全责任制，确保人身和设备设施的安全；</w:t>
      </w:r>
    </w:p>
    <w:p w14:paraId="3244C805">
      <w:pPr>
        <w:spacing w:line="360" w:lineRule="auto"/>
        <w:rPr>
          <w:rFonts w:hint="eastAsia" w:ascii="宋体" w:hAnsi="宋体"/>
          <w:color w:val="auto"/>
          <w:highlight w:val="none"/>
        </w:rPr>
      </w:pPr>
      <w:r>
        <w:rPr>
          <w:rFonts w:hint="eastAsia" w:ascii="宋体" w:hAnsi="宋体"/>
          <w:color w:val="auto"/>
          <w:highlight w:val="none"/>
        </w:rPr>
        <w:t>（2）负责制定、贯彻、落实相关岗位责任制，建立并完善各项管理制度；</w:t>
      </w:r>
    </w:p>
    <w:p w14:paraId="13BA28C8">
      <w:pPr>
        <w:spacing w:line="360" w:lineRule="auto"/>
        <w:rPr>
          <w:rFonts w:hint="eastAsia" w:ascii="宋体" w:hAnsi="宋体"/>
          <w:color w:val="auto"/>
          <w:highlight w:val="none"/>
        </w:rPr>
      </w:pPr>
      <w:r>
        <w:rPr>
          <w:rFonts w:hint="eastAsia" w:ascii="宋体" w:hAnsi="宋体"/>
          <w:color w:val="auto"/>
          <w:highlight w:val="none"/>
        </w:rPr>
        <w:t>（3）熟练掌握各项技能，了解院感相关要求，定期对员工进行相关技能培训；</w:t>
      </w:r>
    </w:p>
    <w:p w14:paraId="67BB46A3">
      <w:pPr>
        <w:spacing w:line="360" w:lineRule="auto"/>
        <w:rPr>
          <w:rFonts w:hint="eastAsia" w:ascii="宋体" w:hAnsi="宋体"/>
          <w:color w:val="auto"/>
          <w:highlight w:val="none"/>
        </w:rPr>
      </w:pPr>
      <w:r>
        <w:rPr>
          <w:rFonts w:hint="eastAsia" w:ascii="宋体" w:hAnsi="宋体"/>
          <w:color w:val="auto"/>
          <w:highlight w:val="none"/>
        </w:rPr>
        <w:t>（4）制定日常相关工作计划，按计划组织员工实施，以保证医院正常有序的运行；</w:t>
      </w:r>
    </w:p>
    <w:p w14:paraId="1691CE15">
      <w:pPr>
        <w:spacing w:line="360" w:lineRule="auto"/>
        <w:rPr>
          <w:rFonts w:hint="eastAsia" w:ascii="宋体" w:hAnsi="宋体"/>
          <w:color w:val="auto"/>
          <w:highlight w:val="none"/>
        </w:rPr>
      </w:pPr>
      <w:r>
        <w:rPr>
          <w:rFonts w:hint="eastAsia" w:ascii="宋体" w:hAnsi="宋体"/>
          <w:color w:val="auto"/>
          <w:highlight w:val="none"/>
        </w:rPr>
        <w:t>（5）熟悉洗衣房及医疗废物处理相关要求，制定洗衣房及医疗废物管理制度，定期对相关员工进行培训，督促洗衣房及医疗废物相关工作开展；</w:t>
      </w:r>
    </w:p>
    <w:p w14:paraId="729BC08F">
      <w:pPr>
        <w:spacing w:line="360" w:lineRule="auto"/>
        <w:rPr>
          <w:rFonts w:hint="eastAsia" w:ascii="宋体" w:hAnsi="宋体"/>
          <w:color w:val="auto"/>
          <w:highlight w:val="none"/>
        </w:rPr>
      </w:pPr>
      <w:r>
        <w:rPr>
          <w:rFonts w:hint="eastAsia" w:ascii="宋体" w:hAnsi="宋体"/>
          <w:color w:val="auto"/>
          <w:highlight w:val="none"/>
        </w:rPr>
        <w:t>（6）熟悉菜地管理，制定相关管理制度，定期对相关员工进行培训，督促菜地工作开展，保证医院整洁美观及菜地有序耕种；</w:t>
      </w:r>
    </w:p>
    <w:p w14:paraId="5C373259">
      <w:pPr>
        <w:spacing w:line="360" w:lineRule="auto"/>
        <w:rPr>
          <w:rFonts w:hint="eastAsia" w:ascii="宋体" w:hAnsi="宋体"/>
          <w:color w:val="auto"/>
          <w:highlight w:val="none"/>
        </w:rPr>
      </w:pPr>
      <w:r>
        <w:rPr>
          <w:rFonts w:hint="eastAsia" w:ascii="宋体" w:hAnsi="宋体"/>
          <w:color w:val="auto"/>
          <w:highlight w:val="none"/>
        </w:rPr>
        <w:t>（7）对相关工作进行统计、分析,并向上级提供分析报告。</w:t>
      </w:r>
    </w:p>
    <w:p w14:paraId="4C9358AC">
      <w:pPr>
        <w:spacing w:line="360" w:lineRule="auto"/>
        <w:rPr>
          <w:rFonts w:hint="eastAsia" w:ascii="宋体" w:hAnsi="宋体"/>
          <w:color w:val="auto"/>
          <w:highlight w:val="none"/>
        </w:rPr>
      </w:pPr>
      <w:r>
        <w:rPr>
          <w:rFonts w:hint="eastAsia" w:ascii="宋体" w:hAnsi="宋体"/>
          <w:color w:val="auto"/>
          <w:highlight w:val="none"/>
        </w:rPr>
        <w:t>3)护工岗位职责：</w:t>
      </w:r>
    </w:p>
    <w:p w14:paraId="4BBD9E3E">
      <w:pPr>
        <w:spacing w:line="360" w:lineRule="auto"/>
        <w:rPr>
          <w:rFonts w:hint="eastAsia" w:ascii="宋体" w:hAnsi="宋体"/>
          <w:color w:val="auto"/>
          <w:highlight w:val="none"/>
        </w:rPr>
      </w:pPr>
      <w:r>
        <w:rPr>
          <w:rFonts w:hint="eastAsia" w:ascii="宋体" w:hAnsi="宋体"/>
          <w:color w:val="auto"/>
          <w:highlight w:val="none"/>
        </w:rPr>
        <w:t>（1）具有爱心，全心全意为精神病人服务的理念，参加定期的培训，由护理人员的指导开展工作；</w:t>
      </w:r>
    </w:p>
    <w:p w14:paraId="446C8F9C">
      <w:pPr>
        <w:spacing w:line="360" w:lineRule="auto"/>
        <w:rPr>
          <w:rFonts w:hint="eastAsia" w:ascii="宋体" w:hAnsi="宋体"/>
          <w:color w:val="auto"/>
          <w:highlight w:val="none"/>
        </w:rPr>
      </w:pPr>
      <w:r>
        <w:rPr>
          <w:rFonts w:hint="eastAsia" w:ascii="宋体" w:hAnsi="宋体"/>
          <w:color w:val="auto"/>
          <w:highlight w:val="none"/>
        </w:rPr>
        <w:t>（2）服务态度好，主动性强，安心负责责任区域的病人陪陪护作；</w:t>
      </w:r>
    </w:p>
    <w:p w14:paraId="13CE1A68">
      <w:pPr>
        <w:spacing w:line="360" w:lineRule="auto"/>
        <w:rPr>
          <w:rFonts w:hint="eastAsia" w:ascii="宋体" w:hAnsi="宋体"/>
          <w:color w:val="auto"/>
          <w:highlight w:val="none"/>
        </w:rPr>
      </w:pPr>
      <w:r>
        <w:rPr>
          <w:rFonts w:hint="eastAsia" w:ascii="宋体" w:hAnsi="宋体"/>
          <w:color w:val="auto"/>
          <w:highlight w:val="none"/>
        </w:rPr>
        <w:t>（3）积极协助护士搞好临床陪护，尤其是危重、一级陪护病人及两便的陪护；</w:t>
      </w:r>
    </w:p>
    <w:p w14:paraId="64D7CD3D">
      <w:pPr>
        <w:spacing w:line="360" w:lineRule="auto"/>
        <w:rPr>
          <w:rFonts w:hint="eastAsia" w:ascii="宋体" w:hAnsi="宋体"/>
          <w:color w:val="auto"/>
          <w:highlight w:val="none"/>
        </w:rPr>
      </w:pPr>
      <w:r>
        <w:rPr>
          <w:rFonts w:hint="eastAsia" w:ascii="宋体" w:hAnsi="宋体"/>
          <w:color w:val="auto"/>
          <w:highlight w:val="none"/>
        </w:rPr>
        <w:t>（4）五关心：关心病人饮食、卫生、安全、睡眠、排泄。关心、协助、帮助病人的饮食，对有需要的病人送饭送水到床头，及时给病人喂水喂食。为病人收送便器，及时清洁消毒、晾干备用；</w:t>
      </w:r>
    </w:p>
    <w:p w14:paraId="45E9859C">
      <w:pPr>
        <w:spacing w:line="360" w:lineRule="auto"/>
        <w:rPr>
          <w:rFonts w:hint="eastAsia" w:ascii="宋体" w:hAnsi="宋体"/>
          <w:color w:val="auto"/>
          <w:highlight w:val="none"/>
        </w:rPr>
      </w:pPr>
      <w:r>
        <w:rPr>
          <w:rFonts w:hint="eastAsia" w:ascii="宋体" w:hAnsi="宋体"/>
          <w:color w:val="auto"/>
          <w:highlight w:val="none"/>
        </w:rPr>
        <w:t>（5）做好生活陪护，做到：无压疮、无坠床、无烫伤、无跌伤。督促病人生活自理，生活不能自理者给予协助；对卧床被动体位的患者协助护士定期翻身（1～2 小时），做好压疮预防陪护，杜绝因陪护不当造成压疮；</w:t>
      </w:r>
    </w:p>
    <w:p w14:paraId="2AB79374">
      <w:pPr>
        <w:spacing w:line="360" w:lineRule="auto"/>
        <w:rPr>
          <w:rFonts w:hint="eastAsia" w:ascii="宋体" w:hAnsi="宋体"/>
          <w:color w:val="auto"/>
          <w:highlight w:val="none"/>
        </w:rPr>
      </w:pPr>
      <w:r>
        <w:rPr>
          <w:rFonts w:hint="eastAsia" w:ascii="宋体" w:hAnsi="宋体"/>
          <w:color w:val="auto"/>
          <w:highlight w:val="none"/>
        </w:rPr>
        <w:t>（6）六洁：皮肤、口腔、脸、头发、指甲、会阴清洁；定期为住院病人理发、剪指甲、洗浴及更换衣服等个人卫生；</w:t>
      </w:r>
    </w:p>
    <w:p w14:paraId="5FA0A48D">
      <w:pPr>
        <w:spacing w:line="360" w:lineRule="auto"/>
        <w:rPr>
          <w:rFonts w:hint="eastAsia" w:ascii="宋体" w:hAnsi="宋体"/>
          <w:color w:val="auto"/>
          <w:highlight w:val="none"/>
        </w:rPr>
      </w:pPr>
      <w:r>
        <w:rPr>
          <w:rFonts w:hint="eastAsia" w:ascii="宋体" w:hAnsi="宋体"/>
          <w:color w:val="auto"/>
          <w:highlight w:val="none"/>
        </w:rPr>
        <w:t>（7）保持病房整洁、物品定点定位放置。协助护理人员整理清洁病床；保持床单平整、干燥、无皱无迹；</w:t>
      </w:r>
    </w:p>
    <w:p w14:paraId="30D5A624">
      <w:pPr>
        <w:spacing w:line="360" w:lineRule="auto"/>
        <w:rPr>
          <w:rFonts w:hint="eastAsia" w:ascii="宋体" w:hAnsi="宋体"/>
          <w:color w:val="auto"/>
          <w:highlight w:val="none"/>
        </w:rPr>
      </w:pPr>
      <w:r>
        <w:rPr>
          <w:rFonts w:hint="eastAsia" w:ascii="宋体" w:hAnsi="宋体"/>
          <w:color w:val="auto"/>
          <w:highlight w:val="none"/>
        </w:rPr>
        <w:t>（8）协助护士观察补液情况，对不合作的病人注意保护，防止针头拔出或滑出，不可随意调节滴速，保持无扭曲，确保滴注通畅；</w:t>
      </w:r>
    </w:p>
    <w:p w14:paraId="0F5382A8">
      <w:pPr>
        <w:spacing w:line="360" w:lineRule="auto"/>
        <w:rPr>
          <w:rFonts w:hint="eastAsia" w:ascii="宋体" w:hAnsi="宋体"/>
          <w:color w:val="auto"/>
          <w:highlight w:val="none"/>
        </w:rPr>
      </w:pPr>
      <w:r>
        <w:rPr>
          <w:rFonts w:hint="eastAsia" w:ascii="宋体" w:hAnsi="宋体"/>
          <w:color w:val="auto"/>
          <w:highlight w:val="none"/>
        </w:rPr>
        <w:t>（9）保持各种管道无扭曲、受压，如在陪护时导管脱落及时通知护士；</w:t>
      </w:r>
    </w:p>
    <w:p w14:paraId="11C816C4">
      <w:pPr>
        <w:spacing w:line="360" w:lineRule="auto"/>
        <w:rPr>
          <w:rFonts w:hint="eastAsia" w:ascii="宋体" w:hAnsi="宋体"/>
          <w:color w:val="auto"/>
          <w:highlight w:val="none"/>
        </w:rPr>
      </w:pPr>
      <w:r>
        <w:rPr>
          <w:rFonts w:hint="eastAsia" w:ascii="宋体" w:hAnsi="宋体"/>
          <w:color w:val="auto"/>
          <w:highlight w:val="none"/>
        </w:rPr>
        <w:t>（10）协助护士观察病人的病情变化，密切观察和监护住院病人在室内、外活动和休息的情况，有情况及时通知护士；</w:t>
      </w:r>
    </w:p>
    <w:p w14:paraId="441E055D">
      <w:pPr>
        <w:spacing w:line="360" w:lineRule="auto"/>
        <w:rPr>
          <w:rFonts w:hint="eastAsia" w:ascii="宋体" w:hAnsi="宋体"/>
          <w:color w:val="auto"/>
          <w:highlight w:val="none"/>
        </w:rPr>
      </w:pPr>
      <w:r>
        <w:rPr>
          <w:rFonts w:hint="eastAsia" w:ascii="宋体" w:hAnsi="宋体"/>
          <w:color w:val="auto"/>
          <w:highlight w:val="none"/>
        </w:rPr>
        <w:t>（11）病人如发生意外，及时报告护士；</w:t>
      </w:r>
    </w:p>
    <w:p w14:paraId="4EC0A869">
      <w:pPr>
        <w:spacing w:line="360" w:lineRule="auto"/>
        <w:rPr>
          <w:rFonts w:hint="eastAsia" w:ascii="宋体" w:hAnsi="宋体"/>
          <w:color w:val="auto"/>
          <w:highlight w:val="none"/>
        </w:rPr>
      </w:pPr>
      <w:r>
        <w:rPr>
          <w:rFonts w:hint="eastAsia" w:ascii="宋体" w:hAnsi="宋体"/>
          <w:color w:val="auto"/>
          <w:highlight w:val="none"/>
        </w:rPr>
        <w:t>（12）擦拭床旁桌、餐桌，做到一桌一巾一用一消毒，防止交叉感染。做好出院病人的终末消毒；</w:t>
      </w:r>
    </w:p>
    <w:p w14:paraId="5009A600">
      <w:pPr>
        <w:spacing w:line="360" w:lineRule="auto"/>
        <w:rPr>
          <w:rFonts w:hint="eastAsia" w:ascii="宋体" w:hAnsi="宋体"/>
          <w:color w:val="auto"/>
          <w:highlight w:val="none"/>
        </w:rPr>
      </w:pPr>
      <w:r>
        <w:rPr>
          <w:rFonts w:hint="eastAsia" w:ascii="宋体" w:hAnsi="宋体"/>
          <w:color w:val="auto"/>
          <w:highlight w:val="none"/>
        </w:rPr>
        <w:t>（13）医疗垃圾的整理和收集，分类，称重，点数；</w:t>
      </w:r>
    </w:p>
    <w:p w14:paraId="1D323062">
      <w:pPr>
        <w:spacing w:line="360" w:lineRule="auto"/>
        <w:rPr>
          <w:rFonts w:hint="eastAsia" w:ascii="宋体" w:hAnsi="宋体"/>
          <w:color w:val="auto"/>
          <w:highlight w:val="none"/>
        </w:rPr>
      </w:pPr>
      <w:r>
        <w:rPr>
          <w:rFonts w:hint="eastAsia" w:ascii="宋体" w:hAnsi="宋体"/>
          <w:color w:val="auto"/>
          <w:highlight w:val="none"/>
        </w:rPr>
        <w:t>（14）每日发放病人的生活用品。负责发放住院病人每日三餐饭菜和餐后点心；</w:t>
      </w:r>
    </w:p>
    <w:p w14:paraId="2976E609">
      <w:pPr>
        <w:spacing w:line="360" w:lineRule="auto"/>
        <w:rPr>
          <w:rFonts w:hint="eastAsia" w:ascii="宋体" w:hAnsi="宋体"/>
          <w:color w:val="auto"/>
          <w:highlight w:val="none"/>
        </w:rPr>
      </w:pPr>
      <w:r>
        <w:rPr>
          <w:rFonts w:hint="eastAsia" w:ascii="宋体" w:hAnsi="宋体"/>
          <w:color w:val="auto"/>
          <w:highlight w:val="none"/>
        </w:rPr>
        <w:t>（15）维护病区安全，协助护士及时处理冲动、伤人病人，保证工作人员和恢复期病人不受到伤害，保证重症精神病人不发生自伤、自杀、伤人、毁物、逃跑等意外；每日检查防盗门窗的安全隐患；</w:t>
      </w:r>
    </w:p>
    <w:p w14:paraId="5163B738">
      <w:pPr>
        <w:spacing w:line="360" w:lineRule="auto"/>
        <w:rPr>
          <w:rFonts w:hint="eastAsia" w:ascii="宋体" w:hAnsi="宋体"/>
          <w:color w:val="auto"/>
          <w:highlight w:val="none"/>
        </w:rPr>
      </w:pPr>
      <w:r>
        <w:rPr>
          <w:rFonts w:hint="eastAsia" w:ascii="宋体" w:hAnsi="宋体"/>
          <w:color w:val="auto"/>
          <w:highlight w:val="none"/>
        </w:rPr>
        <w:t>（16）做好每日护工的交接班工作和登记；</w:t>
      </w:r>
    </w:p>
    <w:p w14:paraId="7978B1E9">
      <w:pPr>
        <w:spacing w:line="360" w:lineRule="auto"/>
        <w:rPr>
          <w:rFonts w:hint="eastAsia" w:ascii="宋体" w:hAnsi="宋体"/>
          <w:color w:val="auto"/>
          <w:highlight w:val="none"/>
        </w:rPr>
      </w:pPr>
      <w:r>
        <w:rPr>
          <w:rFonts w:hint="eastAsia" w:ascii="宋体" w:hAnsi="宋体"/>
          <w:color w:val="auto"/>
          <w:highlight w:val="none"/>
        </w:rPr>
        <w:t>（17）注意节电节水，工作结束后随手关闭空调、水源、电灯等开关；</w:t>
      </w:r>
    </w:p>
    <w:p w14:paraId="264E3E4B">
      <w:pPr>
        <w:spacing w:line="360" w:lineRule="auto"/>
        <w:rPr>
          <w:rFonts w:hint="eastAsia" w:ascii="宋体" w:hAnsi="宋体"/>
          <w:color w:val="auto"/>
          <w:highlight w:val="none"/>
        </w:rPr>
      </w:pPr>
      <w:r>
        <w:rPr>
          <w:rFonts w:hint="eastAsia" w:ascii="宋体" w:hAnsi="宋体"/>
          <w:color w:val="auto"/>
          <w:highlight w:val="none"/>
        </w:rPr>
        <w:t>（18）协助组织病人娱疗活动及生活技能训练；</w:t>
      </w:r>
    </w:p>
    <w:p w14:paraId="22B88675">
      <w:pPr>
        <w:spacing w:line="360" w:lineRule="auto"/>
        <w:rPr>
          <w:rFonts w:hint="eastAsia" w:ascii="宋体" w:hAnsi="宋体"/>
          <w:color w:val="auto"/>
          <w:highlight w:val="none"/>
        </w:rPr>
      </w:pPr>
      <w:r>
        <w:rPr>
          <w:rFonts w:hint="eastAsia" w:ascii="宋体" w:hAnsi="宋体"/>
          <w:color w:val="auto"/>
          <w:highlight w:val="none"/>
        </w:rPr>
        <w:t>（19）以具有精神专科护工证（或精神专科护工技能培训考试合格）为优。</w:t>
      </w:r>
    </w:p>
    <w:p w14:paraId="1C0B0DB9">
      <w:pPr>
        <w:spacing w:line="360" w:lineRule="auto"/>
        <w:rPr>
          <w:rFonts w:hint="eastAsia" w:ascii="宋体" w:hAnsi="宋体"/>
          <w:color w:val="auto"/>
          <w:highlight w:val="none"/>
        </w:rPr>
      </w:pPr>
      <w:r>
        <w:rPr>
          <w:rFonts w:hint="eastAsia" w:ascii="宋体" w:hAnsi="宋体"/>
          <w:color w:val="auto"/>
          <w:highlight w:val="none"/>
        </w:rPr>
        <w:t>4)保管员岗位职责：</w:t>
      </w:r>
    </w:p>
    <w:p w14:paraId="6F1A362A">
      <w:pPr>
        <w:spacing w:line="360" w:lineRule="auto"/>
        <w:rPr>
          <w:rFonts w:hint="eastAsia" w:ascii="宋体" w:hAnsi="宋体"/>
          <w:color w:val="auto"/>
          <w:highlight w:val="none"/>
        </w:rPr>
      </w:pPr>
      <w:r>
        <w:rPr>
          <w:rFonts w:hint="eastAsia" w:ascii="宋体" w:hAnsi="宋体"/>
          <w:color w:val="auto"/>
          <w:highlight w:val="none"/>
        </w:rPr>
        <w:t>（1）负责病人家属所送食品的保管；</w:t>
      </w:r>
    </w:p>
    <w:p w14:paraId="5B9CDFCB">
      <w:pPr>
        <w:spacing w:line="360" w:lineRule="auto"/>
        <w:rPr>
          <w:rFonts w:hint="eastAsia" w:ascii="宋体" w:hAnsi="宋体"/>
          <w:color w:val="auto"/>
          <w:highlight w:val="none"/>
        </w:rPr>
      </w:pPr>
      <w:r>
        <w:rPr>
          <w:rFonts w:hint="eastAsia" w:ascii="宋体" w:hAnsi="宋体"/>
          <w:color w:val="auto"/>
          <w:highlight w:val="none"/>
        </w:rPr>
        <w:t>（2）负责保管室的清洁卫生，物资堆放分类整洁。做到防蝇、防尘，无腐败变质物资，保证食品的绝对安全；</w:t>
      </w:r>
    </w:p>
    <w:p w14:paraId="2C425660">
      <w:pPr>
        <w:spacing w:line="360" w:lineRule="auto"/>
        <w:rPr>
          <w:rFonts w:hint="eastAsia" w:ascii="宋体" w:hAnsi="宋体"/>
          <w:color w:val="auto"/>
          <w:highlight w:val="none"/>
        </w:rPr>
      </w:pPr>
      <w:r>
        <w:rPr>
          <w:rFonts w:hint="eastAsia" w:ascii="宋体" w:hAnsi="宋体"/>
          <w:color w:val="auto"/>
          <w:highlight w:val="none"/>
        </w:rPr>
        <w:t>（3）保管室的钥匙只能由保管员一个人管理，未经同意，一般人不得擅自进出保管室；</w:t>
      </w:r>
    </w:p>
    <w:p w14:paraId="07F85C5F">
      <w:pPr>
        <w:spacing w:line="360" w:lineRule="auto"/>
        <w:rPr>
          <w:rFonts w:hint="eastAsia" w:ascii="宋体" w:hAnsi="宋体"/>
          <w:color w:val="auto"/>
          <w:highlight w:val="none"/>
        </w:rPr>
      </w:pPr>
      <w:r>
        <w:rPr>
          <w:rFonts w:hint="eastAsia" w:ascii="宋体" w:hAnsi="宋体"/>
          <w:color w:val="auto"/>
          <w:highlight w:val="none"/>
        </w:rPr>
        <w:t>（4）食品保管员对食品有保管和监督使用的义务，没有处理物资的权力。一切物资的处理必须报管理处后再行处理；</w:t>
      </w:r>
    </w:p>
    <w:p w14:paraId="5DFC6487">
      <w:pPr>
        <w:spacing w:line="360" w:lineRule="auto"/>
        <w:rPr>
          <w:rFonts w:hint="eastAsia" w:ascii="宋体" w:hAnsi="宋体"/>
          <w:color w:val="auto"/>
          <w:highlight w:val="none"/>
        </w:rPr>
      </w:pPr>
      <w:r>
        <w:rPr>
          <w:rFonts w:hint="eastAsia" w:ascii="宋体" w:hAnsi="宋体"/>
          <w:color w:val="auto"/>
          <w:highlight w:val="none"/>
        </w:rPr>
        <w:t>（5）完成医院安排的其他临时性工作。</w:t>
      </w:r>
    </w:p>
    <w:p w14:paraId="36A97BD7">
      <w:pPr>
        <w:spacing w:line="360" w:lineRule="auto"/>
        <w:rPr>
          <w:rFonts w:hint="eastAsia" w:ascii="宋体" w:hAnsi="宋体"/>
          <w:color w:val="auto"/>
          <w:highlight w:val="none"/>
        </w:rPr>
      </w:pPr>
      <w:r>
        <w:rPr>
          <w:rFonts w:hint="eastAsia" w:ascii="宋体" w:hAnsi="宋体"/>
          <w:color w:val="auto"/>
          <w:highlight w:val="none"/>
        </w:rPr>
        <w:t>5)环境消杀员岗位职责：</w:t>
      </w:r>
    </w:p>
    <w:p w14:paraId="1F00B70E">
      <w:pPr>
        <w:spacing w:line="360" w:lineRule="auto"/>
        <w:rPr>
          <w:rFonts w:hint="eastAsia" w:ascii="宋体" w:hAnsi="宋体"/>
          <w:color w:val="auto"/>
          <w:highlight w:val="none"/>
        </w:rPr>
      </w:pPr>
      <w:r>
        <w:rPr>
          <w:rFonts w:hint="eastAsia" w:ascii="宋体" w:hAnsi="宋体"/>
          <w:color w:val="auto"/>
          <w:highlight w:val="none"/>
        </w:rPr>
        <w:t>（1）严格按照要求进行全院的环境消杀工作，消杀完毕后必须保证消杀位置干净、无污迹、无水渍残留；</w:t>
      </w:r>
    </w:p>
    <w:p w14:paraId="797B66A7">
      <w:pPr>
        <w:spacing w:line="360" w:lineRule="auto"/>
        <w:rPr>
          <w:rFonts w:hint="eastAsia" w:ascii="宋体" w:hAnsi="宋体"/>
          <w:color w:val="auto"/>
          <w:highlight w:val="none"/>
        </w:rPr>
      </w:pPr>
      <w:r>
        <w:rPr>
          <w:rFonts w:hint="eastAsia" w:ascii="宋体" w:hAnsi="宋体"/>
          <w:color w:val="auto"/>
          <w:highlight w:val="none"/>
        </w:rPr>
        <w:t>（2）正确掌握含氯消毒液的配制方法；</w:t>
      </w:r>
    </w:p>
    <w:p w14:paraId="0E1E1B51">
      <w:pPr>
        <w:spacing w:line="360" w:lineRule="auto"/>
        <w:rPr>
          <w:rFonts w:hint="eastAsia" w:ascii="宋体" w:hAnsi="宋体"/>
          <w:color w:val="auto"/>
          <w:highlight w:val="none"/>
        </w:rPr>
      </w:pPr>
      <w:r>
        <w:rPr>
          <w:rFonts w:hint="eastAsia" w:ascii="宋体" w:hAnsi="宋体"/>
          <w:color w:val="auto"/>
          <w:highlight w:val="none"/>
        </w:rPr>
        <w:t>（3）按医院感染科的要求，对特殊部位定点定期消毒（包括清洁和消毒病人脸盆、茶具、痰盂、便器等用具），使医院始终保持洁净；</w:t>
      </w:r>
    </w:p>
    <w:p w14:paraId="340AB5A3">
      <w:pPr>
        <w:spacing w:line="360" w:lineRule="auto"/>
        <w:rPr>
          <w:rFonts w:hint="eastAsia" w:ascii="宋体" w:hAnsi="宋体"/>
          <w:color w:val="auto"/>
          <w:highlight w:val="none"/>
        </w:rPr>
      </w:pPr>
      <w:r>
        <w:rPr>
          <w:rFonts w:hint="eastAsia" w:ascii="宋体" w:hAnsi="宋体"/>
          <w:color w:val="auto"/>
          <w:highlight w:val="none"/>
        </w:rPr>
        <w:t>（4）按时巡视、清洁楼层公共洗手间，定期消杀，保持洗手间清洁、干燥、无异味；</w:t>
      </w:r>
    </w:p>
    <w:p w14:paraId="19E7056F">
      <w:pPr>
        <w:spacing w:line="360" w:lineRule="auto"/>
        <w:rPr>
          <w:rFonts w:hint="eastAsia" w:ascii="宋体" w:hAnsi="宋体"/>
          <w:color w:val="auto"/>
          <w:highlight w:val="none"/>
        </w:rPr>
      </w:pPr>
      <w:r>
        <w:rPr>
          <w:rFonts w:hint="eastAsia" w:ascii="宋体" w:hAnsi="宋体"/>
          <w:color w:val="auto"/>
          <w:highlight w:val="none"/>
        </w:rPr>
        <w:t>（5）每日上、下午对地面全方位消杀一次，消杀完毕后需对地面进行清理，保持地面干燥；</w:t>
      </w:r>
    </w:p>
    <w:p w14:paraId="4EC83749">
      <w:pPr>
        <w:spacing w:line="360" w:lineRule="auto"/>
        <w:rPr>
          <w:rFonts w:hint="eastAsia" w:ascii="宋体" w:hAnsi="宋体"/>
          <w:color w:val="auto"/>
          <w:highlight w:val="none"/>
        </w:rPr>
      </w:pPr>
      <w:r>
        <w:rPr>
          <w:rFonts w:hint="eastAsia" w:ascii="宋体" w:hAnsi="宋体"/>
          <w:color w:val="auto"/>
          <w:highlight w:val="none"/>
        </w:rPr>
        <w:t>（6）消杀工具保持整洁、有序，所有工具按规定分类、分区摆放；</w:t>
      </w:r>
    </w:p>
    <w:p w14:paraId="71FDBBB1">
      <w:pPr>
        <w:spacing w:line="360" w:lineRule="auto"/>
        <w:rPr>
          <w:rFonts w:hint="eastAsia" w:ascii="宋体" w:hAnsi="宋体"/>
          <w:color w:val="auto"/>
          <w:highlight w:val="none"/>
        </w:rPr>
      </w:pPr>
      <w:r>
        <w:rPr>
          <w:rFonts w:hint="eastAsia" w:ascii="宋体" w:hAnsi="宋体"/>
          <w:color w:val="auto"/>
          <w:highlight w:val="none"/>
        </w:rPr>
        <w:t>（7）完成医院安排的其他临时性工作。</w:t>
      </w:r>
    </w:p>
    <w:p w14:paraId="2E165CC7">
      <w:pPr>
        <w:spacing w:line="360" w:lineRule="auto"/>
        <w:rPr>
          <w:rFonts w:hint="eastAsia" w:ascii="宋体" w:hAnsi="宋体"/>
          <w:color w:val="auto"/>
          <w:highlight w:val="none"/>
        </w:rPr>
      </w:pPr>
      <w:r>
        <w:rPr>
          <w:rFonts w:hint="eastAsia" w:ascii="宋体" w:hAnsi="宋体"/>
          <w:color w:val="auto"/>
          <w:highlight w:val="none"/>
        </w:rPr>
        <w:t>6)医废转运员兼洗衣工职责：</w:t>
      </w:r>
    </w:p>
    <w:p w14:paraId="2AF2124A">
      <w:pPr>
        <w:spacing w:line="360" w:lineRule="auto"/>
        <w:rPr>
          <w:rFonts w:hint="eastAsia" w:ascii="宋体" w:hAnsi="宋体"/>
          <w:color w:val="auto"/>
          <w:highlight w:val="none"/>
        </w:rPr>
      </w:pPr>
      <w:r>
        <w:rPr>
          <w:rFonts w:hint="eastAsia" w:ascii="宋体" w:hAnsi="宋体"/>
          <w:color w:val="auto"/>
          <w:highlight w:val="none"/>
        </w:rPr>
        <w:t>（1）在项目经理及部门主管领导下，按时完成各项工作任务；</w:t>
      </w:r>
    </w:p>
    <w:p w14:paraId="23B46C1D">
      <w:pPr>
        <w:spacing w:line="360" w:lineRule="auto"/>
        <w:rPr>
          <w:rFonts w:hint="eastAsia" w:ascii="宋体" w:hAnsi="宋体"/>
          <w:color w:val="auto"/>
          <w:highlight w:val="none"/>
        </w:rPr>
      </w:pPr>
      <w:r>
        <w:rPr>
          <w:rFonts w:hint="eastAsia" w:ascii="宋体" w:hAnsi="宋体"/>
          <w:color w:val="auto"/>
          <w:highlight w:val="none"/>
        </w:rPr>
        <w:t>（2）严格执行医院的各项规章制度和操作规程，防止发生事故；</w:t>
      </w:r>
    </w:p>
    <w:p w14:paraId="5BA45619">
      <w:pPr>
        <w:spacing w:line="360" w:lineRule="auto"/>
        <w:rPr>
          <w:rFonts w:hint="eastAsia" w:ascii="宋体" w:hAnsi="宋体"/>
          <w:color w:val="auto"/>
          <w:highlight w:val="none"/>
        </w:rPr>
      </w:pPr>
      <w:r>
        <w:rPr>
          <w:rFonts w:hint="eastAsia" w:ascii="宋体" w:hAnsi="宋体"/>
          <w:color w:val="auto"/>
          <w:highlight w:val="none"/>
        </w:rPr>
        <w:t>（3）熟练掌握医疗废物处置流程并严格按照相关要求进行操作，做好医疗废弃物处置及登记等工作；</w:t>
      </w:r>
    </w:p>
    <w:p w14:paraId="4A87D473">
      <w:pPr>
        <w:spacing w:line="360" w:lineRule="auto"/>
        <w:rPr>
          <w:rFonts w:hint="eastAsia" w:ascii="宋体" w:hAnsi="宋体"/>
          <w:color w:val="auto"/>
          <w:highlight w:val="none"/>
        </w:rPr>
      </w:pPr>
      <w:r>
        <w:rPr>
          <w:rFonts w:hint="eastAsia" w:ascii="宋体" w:hAnsi="宋体"/>
          <w:color w:val="auto"/>
          <w:highlight w:val="none"/>
        </w:rPr>
        <w:t>（4）定期进行院感培训，并做好相关台账资料；</w:t>
      </w:r>
    </w:p>
    <w:p w14:paraId="57EE11AC">
      <w:pPr>
        <w:spacing w:line="360" w:lineRule="auto"/>
        <w:rPr>
          <w:rFonts w:hint="eastAsia" w:ascii="宋体" w:hAnsi="宋体"/>
          <w:color w:val="auto"/>
          <w:highlight w:val="none"/>
        </w:rPr>
      </w:pPr>
      <w:r>
        <w:rPr>
          <w:rFonts w:hint="eastAsia" w:ascii="宋体" w:hAnsi="宋体"/>
          <w:color w:val="auto"/>
          <w:highlight w:val="none"/>
        </w:rPr>
        <w:t>（5）严格执行病员被服的收交手续，严格按照相关规定做好与医院合作洗涤公司的交接沟通，防止错、漏和丢失；</w:t>
      </w:r>
    </w:p>
    <w:p w14:paraId="6328E1C7">
      <w:pPr>
        <w:spacing w:line="360" w:lineRule="auto"/>
        <w:rPr>
          <w:rFonts w:hint="eastAsia" w:ascii="宋体" w:hAnsi="宋体"/>
          <w:color w:val="auto"/>
          <w:highlight w:val="none"/>
        </w:rPr>
      </w:pPr>
      <w:r>
        <w:rPr>
          <w:rFonts w:hint="eastAsia" w:ascii="宋体" w:hAnsi="宋体"/>
          <w:color w:val="auto"/>
          <w:highlight w:val="none"/>
        </w:rPr>
        <w:t>（6）收取各部门职工的换洗被服，并按照相关规定做好与医院合作洗涤公司的交接沟通，防止错、漏和丢失；</w:t>
      </w:r>
    </w:p>
    <w:p w14:paraId="326A7785">
      <w:pPr>
        <w:spacing w:line="360" w:lineRule="auto"/>
        <w:rPr>
          <w:rFonts w:hint="eastAsia" w:ascii="宋体" w:hAnsi="宋体"/>
          <w:color w:val="auto"/>
          <w:highlight w:val="none"/>
        </w:rPr>
      </w:pPr>
      <w:r>
        <w:rPr>
          <w:rFonts w:hint="eastAsia" w:ascii="宋体" w:hAnsi="宋体"/>
          <w:color w:val="auto"/>
          <w:highlight w:val="none"/>
        </w:rPr>
        <w:t>（7）做好其他洗涤相关工作。</w:t>
      </w:r>
    </w:p>
    <w:p w14:paraId="3977F632">
      <w:pPr>
        <w:spacing w:line="360" w:lineRule="auto"/>
        <w:rPr>
          <w:rFonts w:hint="eastAsia" w:ascii="宋体" w:hAnsi="宋体"/>
          <w:color w:val="auto"/>
          <w:highlight w:val="none"/>
        </w:rPr>
      </w:pPr>
      <w:r>
        <w:rPr>
          <w:rFonts w:hint="eastAsia" w:ascii="宋体" w:hAnsi="宋体"/>
          <w:color w:val="auto"/>
          <w:highlight w:val="none"/>
        </w:rPr>
        <w:t>7)厨师岗位职责</w:t>
      </w:r>
    </w:p>
    <w:p w14:paraId="4A2C9D93">
      <w:pPr>
        <w:spacing w:line="360" w:lineRule="auto"/>
        <w:rPr>
          <w:rFonts w:hint="eastAsia" w:ascii="宋体" w:hAnsi="宋体"/>
          <w:color w:val="auto"/>
          <w:highlight w:val="none"/>
        </w:rPr>
      </w:pPr>
      <w:r>
        <w:rPr>
          <w:rFonts w:hint="eastAsia" w:ascii="宋体" w:hAnsi="宋体"/>
          <w:color w:val="auto"/>
          <w:highlight w:val="none"/>
        </w:rPr>
        <w:t>（1）保证饮食卫生，做好食堂清洁工作；</w:t>
      </w:r>
    </w:p>
    <w:p w14:paraId="2CA60032">
      <w:pPr>
        <w:spacing w:line="360" w:lineRule="auto"/>
        <w:rPr>
          <w:rFonts w:hint="eastAsia" w:ascii="宋体" w:hAnsi="宋体"/>
          <w:color w:val="auto"/>
          <w:highlight w:val="none"/>
        </w:rPr>
      </w:pPr>
      <w:r>
        <w:rPr>
          <w:rFonts w:hint="eastAsia" w:ascii="宋体" w:hAnsi="宋体"/>
          <w:color w:val="auto"/>
          <w:highlight w:val="none"/>
        </w:rPr>
        <w:t>（2）注意个人卫生，定期做好健康检查，并持证上岗；</w:t>
      </w:r>
    </w:p>
    <w:p w14:paraId="7762584D">
      <w:pPr>
        <w:spacing w:line="360" w:lineRule="auto"/>
        <w:rPr>
          <w:rFonts w:hint="eastAsia" w:ascii="宋体" w:hAnsi="宋体"/>
          <w:color w:val="auto"/>
          <w:highlight w:val="none"/>
        </w:rPr>
      </w:pPr>
      <w:r>
        <w:rPr>
          <w:rFonts w:hint="eastAsia" w:ascii="宋体" w:hAnsi="宋体"/>
          <w:color w:val="auto"/>
          <w:highlight w:val="none"/>
        </w:rPr>
        <w:t>（3）严把饭菜质量关，不接受变质食品，不供应变质饭菜；</w:t>
      </w:r>
    </w:p>
    <w:p w14:paraId="12E26F85">
      <w:pPr>
        <w:spacing w:line="360" w:lineRule="auto"/>
        <w:rPr>
          <w:rFonts w:hint="eastAsia" w:ascii="宋体" w:hAnsi="宋体"/>
          <w:color w:val="auto"/>
          <w:highlight w:val="none"/>
        </w:rPr>
      </w:pPr>
      <w:r>
        <w:rPr>
          <w:rFonts w:hint="eastAsia" w:ascii="宋体" w:hAnsi="宋体"/>
          <w:color w:val="auto"/>
          <w:highlight w:val="none"/>
        </w:rPr>
        <w:t>（4）提高伙食质量，充分做好开饭前的准备工作，保持每日三餐按时开饭；</w:t>
      </w:r>
    </w:p>
    <w:p w14:paraId="13DD0A60">
      <w:pPr>
        <w:spacing w:line="360" w:lineRule="auto"/>
        <w:rPr>
          <w:rFonts w:hint="eastAsia" w:ascii="宋体" w:hAnsi="宋体"/>
          <w:color w:val="auto"/>
          <w:highlight w:val="none"/>
        </w:rPr>
      </w:pPr>
      <w:r>
        <w:rPr>
          <w:rFonts w:hint="eastAsia" w:ascii="宋体" w:hAnsi="宋体"/>
          <w:color w:val="auto"/>
          <w:highlight w:val="none"/>
        </w:rPr>
        <w:t>（5）根据不同季节的特点，制作适口饭菜，保证病员和医务人员能用上热菜热饭；</w:t>
      </w:r>
    </w:p>
    <w:p w14:paraId="21E3BC2D">
      <w:pPr>
        <w:spacing w:line="360" w:lineRule="auto"/>
        <w:rPr>
          <w:rFonts w:hint="eastAsia" w:ascii="宋体" w:hAnsi="宋体"/>
          <w:color w:val="auto"/>
          <w:highlight w:val="none"/>
        </w:rPr>
      </w:pPr>
      <w:r>
        <w:rPr>
          <w:rFonts w:hint="eastAsia" w:ascii="宋体" w:hAnsi="宋体"/>
          <w:color w:val="auto"/>
          <w:highlight w:val="none"/>
        </w:rPr>
        <w:t>（6）熟悉营养膳食知识，根据临床的需求，做到配比得当，合理营养的膳食；</w:t>
      </w:r>
    </w:p>
    <w:p w14:paraId="38B6BFC6">
      <w:pPr>
        <w:spacing w:line="360" w:lineRule="auto"/>
        <w:rPr>
          <w:rFonts w:hint="eastAsia" w:ascii="宋体" w:hAnsi="宋体"/>
          <w:color w:val="auto"/>
          <w:highlight w:val="none"/>
        </w:rPr>
      </w:pPr>
      <w:r>
        <w:rPr>
          <w:rFonts w:hint="eastAsia" w:ascii="宋体" w:hAnsi="宋体"/>
          <w:color w:val="auto"/>
          <w:highlight w:val="none"/>
        </w:rPr>
        <w:t>（7）爱护食堂餐具，由专人保管负责，不得私自出租出借；</w:t>
      </w:r>
    </w:p>
    <w:p w14:paraId="55E7D5F6">
      <w:pPr>
        <w:spacing w:line="360" w:lineRule="auto"/>
        <w:rPr>
          <w:rFonts w:hint="eastAsia" w:ascii="宋体" w:hAnsi="宋体"/>
          <w:color w:val="auto"/>
          <w:highlight w:val="none"/>
        </w:rPr>
      </w:pPr>
      <w:r>
        <w:rPr>
          <w:rFonts w:hint="eastAsia" w:ascii="宋体" w:hAnsi="宋体"/>
          <w:color w:val="auto"/>
          <w:highlight w:val="none"/>
        </w:rPr>
        <w:t>（8）餐饮食材及餐饮器具由院方提供。</w:t>
      </w:r>
    </w:p>
    <w:p w14:paraId="3A081FB3">
      <w:pPr>
        <w:spacing w:line="360" w:lineRule="auto"/>
        <w:rPr>
          <w:rFonts w:hint="eastAsia" w:ascii="宋体" w:hAnsi="宋体"/>
          <w:color w:val="auto"/>
          <w:highlight w:val="none"/>
        </w:rPr>
      </w:pPr>
      <w:r>
        <w:rPr>
          <w:rFonts w:hint="eastAsia" w:ascii="宋体" w:hAnsi="宋体"/>
          <w:color w:val="auto"/>
          <w:highlight w:val="none"/>
        </w:rPr>
        <w:t>（9）以具有烹调师及以上资质且具有有效期内健康证的为优。</w:t>
      </w:r>
    </w:p>
    <w:p w14:paraId="64B4EDFE">
      <w:pPr>
        <w:spacing w:line="360" w:lineRule="auto"/>
        <w:rPr>
          <w:rFonts w:hint="eastAsia" w:ascii="宋体" w:hAnsi="宋体"/>
          <w:color w:val="auto"/>
          <w:highlight w:val="none"/>
        </w:rPr>
      </w:pPr>
      <w:r>
        <w:rPr>
          <w:rFonts w:hint="eastAsia" w:ascii="宋体" w:hAnsi="宋体"/>
          <w:color w:val="auto"/>
          <w:highlight w:val="none"/>
        </w:rPr>
        <w:t xml:space="preserve">8)帮厨岗位职责： </w:t>
      </w:r>
    </w:p>
    <w:p w14:paraId="0C1B0C8F">
      <w:pPr>
        <w:spacing w:line="360" w:lineRule="auto"/>
        <w:rPr>
          <w:rFonts w:hint="eastAsia" w:ascii="宋体" w:hAnsi="宋体"/>
          <w:color w:val="auto"/>
          <w:highlight w:val="none"/>
        </w:rPr>
      </w:pPr>
      <w:r>
        <w:rPr>
          <w:rFonts w:hint="eastAsia" w:ascii="宋体" w:hAnsi="宋体"/>
          <w:color w:val="auto"/>
          <w:highlight w:val="none"/>
        </w:rPr>
        <w:t>（1）积极参加业务学习，不断提高业务技术水平，按规定准时上、下班，不离岗；</w:t>
      </w:r>
    </w:p>
    <w:p w14:paraId="04BD70EA">
      <w:pPr>
        <w:spacing w:line="360" w:lineRule="auto"/>
        <w:rPr>
          <w:rFonts w:hint="eastAsia" w:ascii="宋体" w:hAnsi="宋体"/>
          <w:color w:val="auto"/>
          <w:highlight w:val="none"/>
        </w:rPr>
      </w:pPr>
      <w:r>
        <w:rPr>
          <w:rFonts w:hint="eastAsia" w:ascii="宋体" w:hAnsi="宋体"/>
          <w:color w:val="auto"/>
          <w:highlight w:val="none"/>
        </w:rPr>
        <w:t>（2）严格把好饭菜质量关，不接受变质食品，不供应变质的饭菜；</w:t>
      </w:r>
    </w:p>
    <w:p w14:paraId="72A185DD">
      <w:pPr>
        <w:spacing w:line="360" w:lineRule="auto"/>
        <w:rPr>
          <w:rFonts w:hint="eastAsia" w:ascii="宋体" w:hAnsi="宋体"/>
          <w:color w:val="auto"/>
          <w:highlight w:val="none"/>
        </w:rPr>
      </w:pPr>
      <w:r>
        <w:rPr>
          <w:rFonts w:hint="eastAsia" w:ascii="宋体" w:hAnsi="宋体"/>
          <w:color w:val="auto"/>
          <w:highlight w:val="none"/>
        </w:rPr>
        <w:t>（3）努力提高服务质量，不断提高伙食质量，充分做好开饭前的准备工作，保证按时开饭；</w:t>
      </w:r>
    </w:p>
    <w:p w14:paraId="39996CB7">
      <w:pPr>
        <w:spacing w:line="360" w:lineRule="auto"/>
        <w:rPr>
          <w:rFonts w:hint="eastAsia" w:ascii="宋体" w:hAnsi="宋体"/>
          <w:color w:val="auto"/>
          <w:highlight w:val="none"/>
        </w:rPr>
      </w:pPr>
      <w:r>
        <w:rPr>
          <w:rFonts w:hint="eastAsia" w:ascii="宋体" w:hAnsi="宋体"/>
          <w:color w:val="auto"/>
          <w:highlight w:val="none"/>
        </w:rPr>
        <w:t>（4）根据季节特点，制作适合饭菜，不论春秋或严冬，保证病人及医护人员能吃上热饭热菜；</w:t>
      </w:r>
    </w:p>
    <w:p w14:paraId="4DEC8504">
      <w:pPr>
        <w:spacing w:line="360" w:lineRule="auto"/>
        <w:rPr>
          <w:rFonts w:hint="eastAsia" w:ascii="宋体" w:hAnsi="宋体"/>
          <w:color w:val="auto"/>
          <w:highlight w:val="none"/>
        </w:rPr>
      </w:pPr>
      <w:r>
        <w:rPr>
          <w:rFonts w:hint="eastAsia" w:ascii="宋体" w:hAnsi="宋体"/>
          <w:color w:val="auto"/>
          <w:highlight w:val="none"/>
        </w:rPr>
        <w:t>（5）保证饮食卫生，搞好食堂清洁，注意个人卫生，按时做好健康检查，持证上岗；</w:t>
      </w:r>
    </w:p>
    <w:p w14:paraId="05B7D0CF">
      <w:pPr>
        <w:spacing w:line="360" w:lineRule="auto"/>
        <w:rPr>
          <w:rFonts w:hint="eastAsia" w:ascii="宋体" w:hAnsi="宋体"/>
          <w:color w:val="auto"/>
          <w:highlight w:val="none"/>
        </w:rPr>
      </w:pPr>
      <w:r>
        <w:rPr>
          <w:rFonts w:hint="eastAsia" w:ascii="宋体" w:hAnsi="宋体"/>
          <w:color w:val="auto"/>
          <w:highlight w:val="none"/>
        </w:rPr>
        <w:t>（6）爱护食堂炊具，做到专人保管，不准私自出租出借。</w:t>
      </w:r>
    </w:p>
    <w:p w14:paraId="77D24D51">
      <w:pPr>
        <w:spacing w:line="360" w:lineRule="auto"/>
        <w:rPr>
          <w:rFonts w:hint="eastAsia" w:ascii="宋体" w:hAnsi="宋体"/>
          <w:color w:val="auto"/>
          <w:highlight w:val="none"/>
        </w:rPr>
      </w:pPr>
      <w:r>
        <w:rPr>
          <w:rFonts w:hint="eastAsia" w:ascii="宋体" w:hAnsi="宋体"/>
          <w:color w:val="auto"/>
          <w:highlight w:val="none"/>
        </w:rPr>
        <w:t>9)早餐/送餐岗位职责：</w:t>
      </w:r>
    </w:p>
    <w:p w14:paraId="59ED1E80">
      <w:pPr>
        <w:spacing w:line="360" w:lineRule="auto"/>
        <w:rPr>
          <w:rFonts w:hint="eastAsia" w:ascii="宋体" w:hAnsi="宋体"/>
          <w:color w:val="auto"/>
          <w:highlight w:val="none"/>
        </w:rPr>
      </w:pPr>
      <w:r>
        <w:rPr>
          <w:rFonts w:hint="eastAsia" w:ascii="宋体" w:hAnsi="宋体"/>
          <w:color w:val="auto"/>
          <w:highlight w:val="none"/>
        </w:rPr>
        <w:t>（1）积极参加业务学习，不断提高业务技术水平，按规定准时上、下班，不离岗；</w:t>
      </w:r>
    </w:p>
    <w:p w14:paraId="78B7FAED">
      <w:pPr>
        <w:spacing w:line="360" w:lineRule="auto"/>
        <w:rPr>
          <w:rFonts w:hint="eastAsia" w:ascii="宋体" w:hAnsi="宋体"/>
          <w:color w:val="auto"/>
          <w:highlight w:val="none"/>
        </w:rPr>
      </w:pPr>
      <w:r>
        <w:rPr>
          <w:rFonts w:hint="eastAsia" w:ascii="宋体" w:hAnsi="宋体"/>
          <w:color w:val="auto"/>
          <w:highlight w:val="none"/>
        </w:rPr>
        <w:t>（2）严格把好饭菜质量关，不接受变质食品，不供应变质的饭菜；</w:t>
      </w:r>
    </w:p>
    <w:p w14:paraId="45223B8D">
      <w:pPr>
        <w:spacing w:line="360" w:lineRule="auto"/>
        <w:rPr>
          <w:rFonts w:hint="eastAsia" w:ascii="宋体" w:hAnsi="宋体"/>
          <w:color w:val="auto"/>
          <w:highlight w:val="none"/>
        </w:rPr>
      </w:pPr>
      <w:r>
        <w:rPr>
          <w:rFonts w:hint="eastAsia" w:ascii="宋体" w:hAnsi="宋体"/>
          <w:color w:val="auto"/>
          <w:highlight w:val="none"/>
        </w:rPr>
        <w:t>（3）努力提高服务质量，不断提高伙食质量，充分做好开饭前的准备工作，保证按时开饭；</w:t>
      </w:r>
    </w:p>
    <w:p w14:paraId="4D5367F7">
      <w:pPr>
        <w:spacing w:line="360" w:lineRule="auto"/>
        <w:rPr>
          <w:rFonts w:hint="eastAsia" w:ascii="宋体" w:hAnsi="宋体"/>
          <w:color w:val="auto"/>
          <w:highlight w:val="none"/>
        </w:rPr>
      </w:pPr>
      <w:r>
        <w:rPr>
          <w:rFonts w:hint="eastAsia" w:ascii="宋体" w:hAnsi="宋体"/>
          <w:color w:val="auto"/>
          <w:highlight w:val="none"/>
        </w:rPr>
        <w:t>（4）每天按时准备早餐，准时将一日三餐送至住院部，保证住院患者准时就餐；</w:t>
      </w:r>
    </w:p>
    <w:p w14:paraId="13C83D1C">
      <w:pPr>
        <w:spacing w:line="360" w:lineRule="auto"/>
        <w:rPr>
          <w:rFonts w:hint="eastAsia" w:ascii="宋体" w:hAnsi="宋体"/>
          <w:color w:val="auto"/>
          <w:highlight w:val="none"/>
        </w:rPr>
      </w:pPr>
      <w:r>
        <w:rPr>
          <w:rFonts w:hint="eastAsia" w:ascii="宋体" w:hAnsi="宋体"/>
          <w:color w:val="auto"/>
          <w:highlight w:val="none"/>
        </w:rPr>
        <w:t>（5）三餐后及时清洗病区患者餐具，并放入病区消毒柜启动消毒；</w:t>
      </w:r>
    </w:p>
    <w:p w14:paraId="03DD0E80">
      <w:pPr>
        <w:spacing w:line="360" w:lineRule="auto"/>
        <w:rPr>
          <w:rFonts w:hint="eastAsia" w:ascii="宋体" w:hAnsi="宋体"/>
          <w:color w:val="auto"/>
          <w:highlight w:val="none"/>
        </w:rPr>
      </w:pPr>
      <w:r>
        <w:rPr>
          <w:rFonts w:hint="eastAsia" w:ascii="宋体" w:hAnsi="宋体"/>
          <w:color w:val="auto"/>
          <w:highlight w:val="none"/>
        </w:rPr>
        <w:t>（6）保证饮食卫生，搞好食堂清洁，注意个人卫生，按时做好健康检查，持证上岗；</w:t>
      </w:r>
    </w:p>
    <w:p w14:paraId="5282083C">
      <w:pPr>
        <w:spacing w:line="360" w:lineRule="auto"/>
        <w:rPr>
          <w:rFonts w:hint="eastAsia" w:ascii="宋体" w:hAnsi="宋体"/>
          <w:color w:val="auto"/>
          <w:highlight w:val="none"/>
        </w:rPr>
      </w:pPr>
      <w:r>
        <w:rPr>
          <w:rFonts w:hint="eastAsia" w:ascii="宋体" w:hAnsi="宋体"/>
          <w:color w:val="auto"/>
          <w:highlight w:val="none"/>
        </w:rPr>
        <w:t>（7）爱护食堂炊具，做到专人保管，不准私自出租出借。</w:t>
      </w:r>
    </w:p>
    <w:p w14:paraId="6182C76D">
      <w:pPr>
        <w:spacing w:line="360" w:lineRule="auto"/>
        <w:rPr>
          <w:rFonts w:hint="eastAsia" w:ascii="宋体" w:hAnsi="宋体"/>
          <w:color w:val="auto"/>
          <w:highlight w:val="none"/>
        </w:rPr>
      </w:pPr>
      <w:r>
        <w:rPr>
          <w:rFonts w:hint="eastAsia" w:ascii="宋体" w:hAnsi="宋体"/>
          <w:color w:val="auto"/>
          <w:highlight w:val="none"/>
        </w:rPr>
        <w:t>10) 药房辅助人员岗位职责：</w:t>
      </w:r>
    </w:p>
    <w:p w14:paraId="7129946F">
      <w:pPr>
        <w:spacing w:line="360" w:lineRule="auto"/>
        <w:rPr>
          <w:rFonts w:hint="eastAsia" w:ascii="宋体" w:hAnsi="宋体"/>
          <w:color w:val="auto"/>
          <w:highlight w:val="none"/>
        </w:rPr>
      </w:pPr>
      <w:r>
        <w:rPr>
          <w:rFonts w:hint="eastAsia" w:ascii="宋体" w:hAnsi="宋体"/>
          <w:color w:val="auto"/>
          <w:highlight w:val="none"/>
        </w:rPr>
        <w:t>（1）在本院药房人员指导下协助进行发药工作；</w:t>
      </w:r>
    </w:p>
    <w:p w14:paraId="63305F7B">
      <w:pPr>
        <w:spacing w:line="360" w:lineRule="auto"/>
        <w:rPr>
          <w:rFonts w:hint="eastAsia" w:ascii="宋体" w:hAnsi="宋体"/>
          <w:color w:val="auto"/>
          <w:highlight w:val="none"/>
        </w:rPr>
      </w:pPr>
      <w:r>
        <w:rPr>
          <w:rFonts w:hint="eastAsia" w:ascii="宋体" w:hAnsi="宋体"/>
          <w:color w:val="auto"/>
          <w:highlight w:val="none"/>
        </w:rPr>
        <w:t xml:space="preserve">（2）根据药房排班要求按时到岗，不迟到、早退 </w:t>
      </w:r>
    </w:p>
    <w:p w14:paraId="51CBE6F2">
      <w:pPr>
        <w:spacing w:line="360" w:lineRule="auto"/>
        <w:rPr>
          <w:rFonts w:hint="eastAsia" w:ascii="宋体" w:hAnsi="宋体"/>
          <w:color w:val="auto"/>
          <w:highlight w:val="none"/>
        </w:rPr>
      </w:pPr>
      <w:r>
        <w:rPr>
          <w:rFonts w:hint="eastAsia" w:ascii="宋体" w:hAnsi="宋体"/>
          <w:color w:val="auto"/>
          <w:highlight w:val="none"/>
        </w:rPr>
        <w:t>（3）严格按照各项操作常规进行药房工作，遵守各项规章制度，严防差错事故；</w:t>
      </w:r>
    </w:p>
    <w:p w14:paraId="1667B605">
      <w:pPr>
        <w:spacing w:line="360" w:lineRule="auto"/>
        <w:rPr>
          <w:rFonts w:hint="eastAsia" w:ascii="宋体" w:hAnsi="宋体"/>
          <w:color w:val="auto"/>
          <w:highlight w:val="none"/>
        </w:rPr>
      </w:pPr>
      <w:r>
        <w:rPr>
          <w:rFonts w:hint="eastAsia" w:ascii="宋体" w:hAnsi="宋体"/>
          <w:color w:val="auto"/>
          <w:highlight w:val="none"/>
        </w:rPr>
        <w:t>（4）定期学习精神科相关药物知识并掌握；</w:t>
      </w:r>
    </w:p>
    <w:p w14:paraId="23BEAB12">
      <w:pPr>
        <w:spacing w:line="360" w:lineRule="auto"/>
        <w:rPr>
          <w:rFonts w:hint="eastAsia" w:ascii="宋体" w:hAnsi="宋体"/>
          <w:color w:val="auto"/>
          <w:highlight w:val="none"/>
        </w:rPr>
      </w:pPr>
      <w:r>
        <w:rPr>
          <w:rFonts w:hint="eastAsia" w:ascii="宋体" w:hAnsi="宋体"/>
          <w:color w:val="auto"/>
          <w:highlight w:val="none"/>
        </w:rPr>
        <w:t>（5）完成医院安排的其他临时性工作。</w:t>
      </w:r>
    </w:p>
    <w:p w14:paraId="64B58F6E">
      <w:pPr>
        <w:spacing w:line="360" w:lineRule="auto"/>
        <w:rPr>
          <w:rFonts w:hint="eastAsia" w:ascii="宋体" w:hAnsi="宋体"/>
          <w:color w:val="auto"/>
          <w:highlight w:val="none"/>
        </w:rPr>
      </w:pPr>
      <w:r>
        <w:rPr>
          <w:rFonts w:hint="eastAsia" w:ascii="宋体" w:hAnsi="宋体"/>
          <w:color w:val="auto"/>
          <w:highlight w:val="none"/>
        </w:rPr>
        <w:t>11）标本、病人运送岗位职责：</w:t>
      </w:r>
    </w:p>
    <w:p w14:paraId="244C4A27">
      <w:pPr>
        <w:spacing w:line="360" w:lineRule="auto"/>
        <w:rPr>
          <w:rFonts w:hint="eastAsia" w:ascii="宋体" w:hAnsi="宋体"/>
          <w:color w:val="auto"/>
          <w:highlight w:val="none"/>
        </w:rPr>
      </w:pPr>
      <w:r>
        <w:rPr>
          <w:rFonts w:hint="eastAsia" w:ascii="宋体" w:hAnsi="宋体"/>
          <w:color w:val="auto"/>
          <w:highlight w:val="none"/>
        </w:rPr>
        <w:t>（1）协助护士留取各种标本，及时送检，包括白天急症标本。送检标本，划价跑单要严格查对，做到准确、及时无误；</w:t>
      </w:r>
    </w:p>
    <w:p w14:paraId="1DC56FD2">
      <w:pPr>
        <w:spacing w:line="360" w:lineRule="auto"/>
        <w:rPr>
          <w:rFonts w:hint="eastAsia" w:ascii="宋体" w:hAnsi="宋体"/>
          <w:color w:val="auto"/>
          <w:highlight w:val="none"/>
        </w:rPr>
      </w:pPr>
      <w:r>
        <w:rPr>
          <w:rFonts w:hint="eastAsia" w:ascii="宋体" w:hAnsi="宋体"/>
          <w:color w:val="auto"/>
          <w:highlight w:val="none"/>
        </w:rPr>
        <w:t>（2）护送危重病人治疗、检查时须有医护人员陪同；</w:t>
      </w:r>
    </w:p>
    <w:p w14:paraId="3A5F80DD">
      <w:pPr>
        <w:spacing w:line="360" w:lineRule="auto"/>
        <w:rPr>
          <w:rFonts w:hint="eastAsia" w:ascii="宋体" w:hAnsi="宋体"/>
          <w:color w:val="auto"/>
          <w:highlight w:val="none"/>
        </w:rPr>
      </w:pPr>
      <w:r>
        <w:rPr>
          <w:rFonts w:hint="eastAsia" w:ascii="宋体" w:hAnsi="宋体"/>
          <w:color w:val="auto"/>
          <w:highlight w:val="none"/>
        </w:rPr>
        <w:t>（3）负责送病人各种辅助检查；转院及转院时的陪送服务；</w:t>
      </w:r>
    </w:p>
    <w:p w14:paraId="7CDF7340">
      <w:pPr>
        <w:spacing w:line="360" w:lineRule="auto"/>
        <w:rPr>
          <w:rFonts w:hint="eastAsia" w:ascii="宋体" w:hAnsi="宋体"/>
          <w:color w:val="auto"/>
          <w:highlight w:val="none"/>
        </w:rPr>
      </w:pPr>
      <w:r>
        <w:rPr>
          <w:rFonts w:hint="eastAsia" w:ascii="宋体" w:hAnsi="宋体"/>
          <w:color w:val="auto"/>
          <w:highlight w:val="none"/>
        </w:rPr>
        <w:t>（4）取送消毒物品要注意有菌和无菌分别放置；</w:t>
      </w:r>
    </w:p>
    <w:p w14:paraId="23555DB5">
      <w:pPr>
        <w:spacing w:line="360" w:lineRule="auto"/>
        <w:rPr>
          <w:rFonts w:hint="eastAsia" w:ascii="宋体" w:hAnsi="宋体"/>
          <w:color w:val="auto"/>
          <w:highlight w:val="none"/>
        </w:rPr>
      </w:pPr>
      <w:r>
        <w:rPr>
          <w:rFonts w:hint="eastAsia" w:ascii="宋体" w:hAnsi="宋体"/>
          <w:color w:val="auto"/>
          <w:highlight w:val="none"/>
        </w:rPr>
        <w:t>（5）严格清点、登记，保证数量准确无误，特殊污染要注意先消毒，并登记装袋有标记；</w:t>
      </w:r>
    </w:p>
    <w:p w14:paraId="1CF89B2F">
      <w:pPr>
        <w:spacing w:line="360" w:lineRule="auto"/>
        <w:rPr>
          <w:rFonts w:hint="eastAsia" w:ascii="宋体" w:hAnsi="宋体"/>
          <w:color w:val="auto"/>
          <w:highlight w:val="none"/>
        </w:rPr>
      </w:pPr>
      <w:r>
        <w:rPr>
          <w:rFonts w:hint="eastAsia" w:ascii="宋体" w:hAnsi="宋体"/>
          <w:color w:val="auto"/>
          <w:highlight w:val="none"/>
        </w:rPr>
        <w:t>（6）严格执行“消毒隔离规范”，严格遵守感控要求，要求掌握一定的急救知识；</w:t>
      </w:r>
    </w:p>
    <w:p w14:paraId="086616EB">
      <w:pPr>
        <w:spacing w:line="360" w:lineRule="auto"/>
        <w:rPr>
          <w:rFonts w:hint="eastAsia" w:ascii="宋体" w:hAnsi="宋体"/>
          <w:color w:val="auto"/>
          <w:highlight w:val="none"/>
        </w:rPr>
      </w:pPr>
      <w:r>
        <w:rPr>
          <w:rFonts w:hint="eastAsia" w:ascii="宋体" w:hAnsi="宋体"/>
          <w:color w:val="auto"/>
          <w:highlight w:val="none"/>
        </w:rPr>
        <w:t>（7）完成医院安排的其他临时性工作。</w:t>
      </w:r>
    </w:p>
    <w:p w14:paraId="4F89FBBA">
      <w:pPr>
        <w:spacing w:line="360" w:lineRule="auto"/>
        <w:rPr>
          <w:rFonts w:hint="eastAsia" w:ascii="宋体" w:hAnsi="宋体"/>
          <w:color w:val="auto"/>
          <w:highlight w:val="none"/>
        </w:rPr>
      </w:pPr>
      <w:r>
        <w:rPr>
          <w:rFonts w:hint="eastAsia" w:ascii="宋体" w:hAnsi="宋体"/>
          <w:color w:val="auto"/>
          <w:highlight w:val="none"/>
        </w:rPr>
        <w:t>12) 污水处理员岗位职责：</w:t>
      </w:r>
    </w:p>
    <w:p w14:paraId="7B8AFDE9">
      <w:pPr>
        <w:spacing w:line="360" w:lineRule="auto"/>
        <w:rPr>
          <w:rFonts w:hint="eastAsia" w:ascii="宋体" w:hAnsi="宋体"/>
          <w:color w:val="auto"/>
          <w:highlight w:val="none"/>
        </w:rPr>
      </w:pPr>
      <w:r>
        <w:rPr>
          <w:rFonts w:hint="eastAsia" w:ascii="宋体" w:hAnsi="宋体"/>
          <w:color w:val="auto"/>
          <w:highlight w:val="none"/>
        </w:rPr>
        <w:t>（1）负责污水处理站的现场运营管理工作，根据污水处理设施进水条件及时调整运行参数，确保处理出水达标排放；</w:t>
      </w:r>
    </w:p>
    <w:p w14:paraId="1E3BD0B4">
      <w:pPr>
        <w:spacing w:line="360" w:lineRule="auto"/>
        <w:rPr>
          <w:rFonts w:hint="eastAsia" w:ascii="宋体" w:hAnsi="宋体"/>
          <w:color w:val="auto"/>
          <w:highlight w:val="none"/>
        </w:rPr>
      </w:pPr>
      <w:r>
        <w:rPr>
          <w:rFonts w:hint="eastAsia" w:ascii="宋体" w:hAnsi="宋体"/>
          <w:color w:val="auto"/>
          <w:highlight w:val="none"/>
        </w:rPr>
        <w:t>（2）负责污水COD等指标的每日检测，过滤器、PH探头清洗，配药后储料桶加药，养泥、卸泥和清泥工作；</w:t>
      </w:r>
    </w:p>
    <w:p w14:paraId="77C24302">
      <w:pPr>
        <w:spacing w:line="360" w:lineRule="auto"/>
        <w:rPr>
          <w:rFonts w:hint="eastAsia" w:ascii="宋体" w:hAnsi="宋体"/>
          <w:color w:val="auto"/>
          <w:highlight w:val="none"/>
        </w:rPr>
      </w:pPr>
      <w:r>
        <w:rPr>
          <w:rFonts w:hint="eastAsia" w:ascii="宋体" w:hAnsi="宋体"/>
          <w:color w:val="auto"/>
          <w:highlight w:val="none"/>
        </w:rPr>
        <w:t>（3）按照巡检计划完成污水处理站的日常巡检工作，保证配套设施（包括站牌、护栏、设备）的正常运行，负责污水处理站日常简单维修维护工作；</w:t>
      </w:r>
    </w:p>
    <w:p w14:paraId="729197B6">
      <w:pPr>
        <w:spacing w:line="360" w:lineRule="auto"/>
        <w:rPr>
          <w:rFonts w:hint="eastAsia" w:ascii="宋体" w:hAnsi="宋体"/>
          <w:color w:val="auto"/>
          <w:highlight w:val="none"/>
        </w:rPr>
      </w:pPr>
      <w:r>
        <w:rPr>
          <w:rFonts w:hint="eastAsia" w:ascii="宋体" w:hAnsi="宋体"/>
          <w:color w:val="auto"/>
          <w:highlight w:val="none"/>
        </w:rPr>
        <w:t>（4）掌握水质、水量和处理设施设备的运行情况，做好相关记录集数据整理上报工作；</w:t>
      </w:r>
    </w:p>
    <w:p w14:paraId="56762836">
      <w:pPr>
        <w:spacing w:line="360" w:lineRule="auto"/>
        <w:rPr>
          <w:rFonts w:hint="eastAsia" w:ascii="宋体" w:hAnsi="宋体"/>
          <w:color w:val="auto"/>
          <w:highlight w:val="none"/>
        </w:rPr>
      </w:pPr>
      <w:r>
        <w:rPr>
          <w:rFonts w:hint="eastAsia" w:ascii="宋体" w:hAnsi="宋体"/>
          <w:color w:val="auto"/>
          <w:highlight w:val="none"/>
        </w:rPr>
        <w:t>（5）规范运营操作规程，培训、监督其他相关人员操作方法；</w:t>
      </w:r>
    </w:p>
    <w:p w14:paraId="0DF18CA4">
      <w:pPr>
        <w:spacing w:line="360" w:lineRule="auto"/>
        <w:rPr>
          <w:rFonts w:hint="eastAsia" w:ascii="宋体" w:hAnsi="宋体"/>
          <w:color w:val="auto"/>
          <w:highlight w:val="none"/>
        </w:rPr>
      </w:pPr>
      <w:r>
        <w:rPr>
          <w:rFonts w:hint="eastAsia" w:ascii="宋体" w:hAnsi="宋体"/>
          <w:color w:val="auto"/>
          <w:highlight w:val="none"/>
        </w:rPr>
        <w:t>（6）负责污水站清理工作，保持污水处理站干净整洁；</w:t>
      </w:r>
    </w:p>
    <w:p w14:paraId="06AD2E12">
      <w:pPr>
        <w:spacing w:line="360" w:lineRule="auto"/>
        <w:rPr>
          <w:rFonts w:hint="eastAsia" w:ascii="宋体" w:hAnsi="宋体"/>
          <w:color w:val="auto"/>
          <w:highlight w:val="none"/>
        </w:rPr>
      </w:pPr>
      <w:r>
        <w:rPr>
          <w:rFonts w:hint="eastAsia" w:ascii="宋体" w:hAnsi="宋体"/>
          <w:color w:val="auto"/>
          <w:highlight w:val="none"/>
        </w:rPr>
        <w:t>（7）完成医院安排的其他临时性工作。</w:t>
      </w:r>
    </w:p>
    <w:p w14:paraId="3CCD2EBF">
      <w:pPr>
        <w:spacing w:line="360" w:lineRule="auto"/>
        <w:ind w:right="-159" w:firstLine="420"/>
        <w:rPr>
          <w:rFonts w:hint="eastAsia" w:ascii="宋体" w:hAnsi="宋体" w:cs="宋体"/>
          <w:color w:val="auto"/>
          <w:highlight w:val="none"/>
        </w:rPr>
      </w:pPr>
      <w:r>
        <w:rPr>
          <w:rFonts w:hint="eastAsia" w:ascii="宋体" w:hAnsi="宋体" w:cs="宋体"/>
          <w:color w:val="auto"/>
          <w:highlight w:val="none"/>
        </w:rPr>
        <w:t>四、报价要求：</w:t>
      </w:r>
    </w:p>
    <w:p w14:paraId="268736CC">
      <w:pPr>
        <w:spacing w:line="360" w:lineRule="auto"/>
        <w:ind w:firstLine="420"/>
        <w:rPr>
          <w:rFonts w:hint="eastAsia" w:ascii="宋体" w:hAnsi="宋体" w:cs="宋体"/>
          <w:color w:val="auto"/>
          <w:highlight w:val="none"/>
        </w:rPr>
      </w:pPr>
      <w:r>
        <w:rPr>
          <w:rFonts w:hint="eastAsia" w:ascii="宋体" w:hAnsi="宋体" w:cs="宋体"/>
          <w:color w:val="auto"/>
          <w:highlight w:val="none"/>
        </w:rPr>
        <w:t>1、投标总价包括但不限于人工（包括工资、高温费、奖金、社保、法定节假日等各类加班费、各类保险费等费用）、专用设备、工具、易耗材、办公设备、巡检器材、服装、胸卡、通讯、保险、各种税费、政策性文件规定及合同包含的所有风险、责任等的费用，合同期内不再追加任何费用（包括最低工资、社保调整所增加的费用等）。</w:t>
      </w:r>
    </w:p>
    <w:p w14:paraId="2C4DE8AF">
      <w:pPr>
        <w:spacing w:line="360" w:lineRule="auto"/>
        <w:ind w:firstLine="420"/>
        <w:rPr>
          <w:rFonts w:hint="eastAsia" w:ascii="宋体" w:hAnsi="宋体" w:cs="宋体"/>
          <w:color w:val="auto"/>
          <w:highlight w:val="none"/>
        </w:rPr>
      </w:pPr>
      <w:r>
        <w:rPr>
          <w:rFonts w:hint="eastAsia" w:ascii="宋体" w:hAnsi="宋体" w:cs="宋体"/>
          <w:color w:val="auto"/>
          <w:highlight w:val="none"/>
        </w:rPr>
        <w:t>2、响应单位要充分考虑所有工作人员的值休、轮休、法定假日休息以及岗位顶班、日常机动人员的配备，以上所有费用均已计入投标总价，招标人无须另行支付任何费用。</w:t>
      </w:r>
    </w:p>
    <w:p w14:paraId="43E43A5F">
      <w:pPr>
        <w:spacing w:line="360" w:lineRule="auto"/>
        <w:ind w:firstLine="420"/>
        <w:rPr>
          <w:rFonts w:hint="eastAsia" w:ascii="宋体" w:hAnsi="宋体" w:cs="宋体"/>
          <w:color w:val="auto"/>
          <w:highlight w:val="none"/>
        </w:rPr>
      </w:pPr>
      <w:r>
        <w:rPr>
          <w:rFonts w:hint="eastAsia" w:ascii="宋体" w:hAnsi="宋体" w:cs="宋体"/>
          <w:color w:val="auto"/>
          <w:highlight w:val="none"/>
        </w:rPr>
        <w:t>3、各响应单位须在报价分析表一中列明各岗位人员的综合单价（此综合单价包含人工（工资、高温费、奖金、社保、法定节假日等各类加班费、各类保险费等费用）、专用设备、工具、易耗品、办公设备、巡检器材、服装、胸卡、通讯、保险、各种税费、利润、政策性文件规定及合同包含的所有风险、责任等的费用），即各响应单位须把完成此项目所产生的费用摊分到各岗位人员的综合单价，采购人以此作为结算价格，不再承担此价格以外的任何费用。报价分析表二中的人工成本单指人工（包括工资、高温费、奖金、社保、法定节假日等各类加班费、各类保险费等费用）。</w:t>
      </w:r>
    </w:p>
    <w:p w14:paraId="25A01C37">
      <w:pPr>
        <w:spacing w:line="360" w:lineRule="auto"/>
        <w:ind w:firstLine="420"/>
        <w:rPr>
          <w:rFonts w:hint="eastAsia" w:ascii="宋体" w:hAnsi="宋体" w:cs="宋体"/>
          <w:color w:val="auto"/>
          <w:highlight w:val="none"/>
        </w:rPr>
      </w:pPr>
      <w:r>
        <w:rPr>
          <w:rFonts w:hint="eastAsia" w:ascii="宋体" w:hAnsi="宋体" w:cs="宋体"/>
          <w:color w:val="auto"/>
          <w:highlight w:val="none"/>
        </w:rPr>
        <w:t>4、请各投标人以服务期限两年、人员清单数量（不少于48人）报明单价并合计总价，具体应按采购人的通知要求进行人员设置，单价不变、按实际到岗人员及时间结算，计算方式为平均单价*实到人数*时间。本项目未尽服务内容及具体岗位工作职责，采购方可根据本单位实际情况及采购项目特点另行增加，投标人须充分考虑相关费用，涵盖在报价内。</w:t>
      </w:r>
    </w:p>
    <w:p w14:paraId="0A672B52">
      <w:pPr>
        <w:pStyle w:val="230"/>
        <w:spacing w:line="400" w:lineRule="exact"/>
        <w:ind w:firstLine="480"/>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rPr>
        <w:t>5、</w:t>
      </w:r>
      <w:r>
        <w:rPr>
          <w:rFonts w:hint="eastAsia" w:hAnsi="宋体" w:eastAsia="宋体" w:cs="宋体"/>
          <w:color w:val="auto"/>
          <w:sz w:val="21"/>
          <w:szCs w:val="21"/>
          <w:highlight w:val="none"/>
          <w:lang w:val="zh-CN"/>
        </w:rPr>
        <w:t>合同价款的支付及付款方式：（</w:t>
      </w:r>
      <w:r>
        <w:rPr>
          <w:rFonts w:hint="eastAsia" w:hAnsi="宋体" w:eastAsia="宋体" w:cs="宋体"/>
          <w:color w:val="auto"/>
          <w:sz w:val="21"/>
          <w:szCs w:val="21"/>
          <w:highlight w:val="none"/>
        </w:rPr>
        <w:t>由乙方进行勾选</w:t>
      </w:r>
      <w:r>
        <w:rPr>
          <w:rFonts w:hint="eastAsia" w:hAnsi="宋体" w:eastAsia="宋体" w:cs="宋体"/>
          <w:color w:val="auto"/>
          <w:sz w:val="21"/>
          <w:szCs w:val="21"/>
          <w:highlight w:val="none"/>
          <w:lang w:val="zh-CN"/>
        </w:rPr>
        <w:t>）</w:t>
      </w:r>
    </w:p>
    <w:p w14:paraId="32F5AB40">
      <w:pPr>
        <w:ind w:firstLine="441"/>
        <w:rPr>
          <w:rFonts w:hint="eastAsia" w:ascii="宋体" w:hAnsi="宋体" w:cs="宋体"/>
          <w:color w:val="auto"/>
          <w:sz w:val="30"/>
          <w:highlight w:val="none"/>
        </w:rPr>
      </w:pPr>
      <w:r>
        <w:rPr>
          <w:rFonts w:hint="eastAsia" w:ascii="宋体" w:hAnsi="宋体" w:cs="宋体"/>
          <w:color w:val="auto"/>
          <w:szCs w:val="21"/>
          <w:highlight w:val="none"/>
        </w:rPr>
        <w:t>A、</w:t>
      </w:r>
      <w:r>
        <w:rPr>
          <w:rFonts w:hint="eastAsia" w:ascii="宋体" w:hAnsi="宋体" w:cs="宋体"/>
          <w:color w:val="auto"/>
          <w:sz w:val="30"/>
          <w:highlight w:val="none"/>
        </w:rPr>
        <w:t>□</w:t>
      </w:r>
      <w:r>
        <w:rPr>
          <w:rFonts w:hint="eastAsia" w:ascii="宋体" w:hAnsi="宋体" w:cs="宋体"/>
          <w:color w:val="auto"/>
          <w:szCs w:val="21"/>
          <w:highlight w:val="none"/>
        </w:rPr>
        <w:t>在签订合同时，乙方明确表示需要甲方支付预付款的</w:t>
      </w:r>
    </w:p>
    <w:p w14:paraId="15B79483">
      <w:pPr>
        <w:pStyle w:val="230"/>
        <w:spacing w:line="400" w:lineRule="exact"/>
        <w:ind w:firstLine="480"/>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rPr>
        <w:t>采购合同签订生效后，甲方在10个工作日内向乙方支付合同金额10%的预付款。服务</w:t>
      </w:r>
      <w:r>
        <w:rPr>
          <w:rFonts w:hint="eastAsia" w:hAnsi="宋体" w:eastAsia="宋体" w:cs="宋体"/>
          <w:color w:val="auto"/>
          <w:sz w:val="21"/>
          <w:szCs w:val="21"/>
          <w:highlight w:val="none"/>
          <w:lang w:val="zh-CN"/>
        </w:rPr>
        <w:t>费</w:t>
      </w:r>
      <w:r>
        <w:rPr>
          <w:rFonts w:hint="eastAsia" w:hAnsi="宋体" w:eastAsia="宋体" w:cs="宋体"/>
          <w:color w:val="auto"/>
          <w:sz w:val="21"/>
          <w:szCs w:val="21"/>
          <w:highlight w:val="none"/>
        </w:rPr>
        <w:t>每月结算一次</w:t>
      </w:r>
      <w:r>
        <w:rPr>
          <w:rFonts w:hint="eastAsia" w:hAnsi="宋体" w:eastAsia="宋体" w:cs="宋体"/>
          <w:color w:val="auto"/>
          <w:sz w:val="21"/>
          <w:szCs w:val="21"/>
          <w:highlight w:val="none"/>
          <w:lang w:val="zh-CN"/>
        </w:rPr>
        <w:t>，每</w:t>
      </w:r>
      <w:r>
        <w:rPr>
          <w:rFonts w:hint="eastAsia" w:hAnsi="宋体" w:eastAsia="宋体" w:cs="宋体"/>
          <w:color w:val="auto"/>
          <w:sz w:val="21"/>
          <w:szCs w:val="21"/>
          <w:highlight w:val="none"/>
        </w:rPr>
        <w:t>月</w:t>
      </w:r>
      <w:r>
        <w:rPr>
          <w:rFonts w:hint="eastAsia" w:hAnsi="宋体" w:eastAsia="宋体" w:cs="宋体"/>
          <w:color w:val="auto"/>
          <w:sz w:val="21"/>
          <w:szCs w:val="21"/>
          <w:highlight w:val="none"/>
          <w:lang w:val="zh-CN"/>
        </w:rPr>
        <w:t>应结算的</w:t>
      </w:r>
      <w:r>
        <w:rPr>
          <w:rFonts w:hint="eastAsia" w:hAnsi="宋体" w:eastAsia="宋体" w:cs="宋体"/>
          <w:color w:val="auto"/>
          <w:sz w:val="21"/>
          <w:szCs w:val="21"/>
          <w:highlight w:val="none"/>
        </w:rPr>
        <w:t>服务</w:t>
      </w:r>
      <w:r>
        <w:rPr>
          <w:rFonts w:hint="eastAsia" w:hAnsi="宋体" w:eastAsia="宋体" w:cs="宋体"/>
          <w:color w:val="auto"/>
          <w:sz w:val="21"/>
          <w:szCs w:val="21"/>
          <w:highlight w:val="none"/>
          <w:lang w:val="zh-CN"/>
        </w:rPr>
        <w:t>费=</w:t>
      </w:r>
      <w:r>
        <w:rPr>
          <w:rFonts w:hint="eastAsia" w:hAnsi="宋体" w:eastAsia="宋体" w:cs="宋体"/>
          <w:color w:val="auto"/>
          <w:sz w:val="21"/>
          <w:szCs w:val="21"/>
          <w:highlight w:val="none"/>
        </w:rPr>
        <w:t>实际到岗人员服务费（合同总价/24）-考核扣款</w:t>
      </w:r>
      <w:r>
        <w:rPr>
          <w:rFonts w:hint="eastAsia" w:hAnsi="宋体" w:eastAsia="宋体" w:cs="宋体"/>
          <w:color w:val="auto"/>
          <w:sz w:val="21"/>
          <w:szCs w:val="21"/>
          <w:highlight w:val="none"/>
          <w:lang w:val="zh-CN"/>
        </w:rPr>
        <w:t>；当月款项</w:t>
      </w:r>
      <w:r>
        <w:rPr>
          <w:rFonts w:hint="eastAsia" w:hAnsi="宋体" w:eastAsia="宋体" w:cs="宋体"/>
          <w:color w:val="auto"/>
          <w:sz w:val="21"/>
          <w:szCs w:val="21"/>
          <w:highlight w:val="none"/>
        </w:rPr>
        <w:t>在甲方收到乙方发票后15日内进行支付</w:t>
      </w:r>
      <w:r>
        <w:rPr>
          <w:rFonts w:hint="eastAsia" w:hAnsi="宋体" w:eastAsia="宋体" w:cs="宋体"/>
          <w:color w:val="auto"/>
          <w:sz w:val="21"/>
          <w:szCs w:val="21"/>
          <w:highlight w:val="none"/>
          <w:lang w:val="zh-CN"/>
        </w:rPr>
        <w:t>。</w:t>
      </w:r>
    </w:p>
    <w:p w14:paraId="3EC92C66">
      <w:pPr>
        <w:ind w:firstLine="441"/>
        <w:rPr>
          <w:rFonts w:hint="eastAsia" w:ascii="宋体" w:hAnsi="宋体" w:cs="宋体"/>
          <w:color w:val="auto"/>
          <w:sz w:val="30"/>
          <w:highlight w:val="none"/>
        </w:rPr>
      </w:pPr>
      <w:r>
        <w:rPr>
          <w:rFonts w:hint="eastAsia" w:ascii="宋体" w:hAnsi="宋体" w:cs="宋体"/>
          <w:color w:val="auto"/>
          <w:szCs w:val="21"/>
          <w:highlight w:val="none"/>
        </w:rPr>
        <w:t>B、</w:t>
      </w:r>
      <w:r>
        <w:rPr>
          <w:rFonts w:hint="eastAsia" w:ascii="宋体" w:hAnsi="宋体" w:cs="宋体"/>
          <w:color w:val="auto"/>
          <w:sz w:val="30"/>
          <w:highlight w:val="none"/>
        </w:rPr>
        <w:t>□</w:t>
      </w:r>
      <w:r>
        <w:rPr>
          <w:rFonts w:hint="eastAsia" w:ascii="宋体" w:hAnsi="宋体" w:cs="宋体"/>
          <w:color w:val="auto"/>
          <w:szCs w:val="21"/>
          <w:highlight w:val="none"/>
        </w:rPr>
        <w:t>在签订合同时，乙方明确表示无需甲方支付预付款的：</w:t>
      </w:r>
    </w:p>
    <w:p w14:paraId="46B9117B">
      <w:pPr>
        <w:pStyle w:val="230"/>
        <w:spacing w:line="480" w:lineRule="exact"/>
        <w:ind w:firstLine="482"/>
        <w:rPr>
          <w:rFonts w:hint="eastAsia" w:hAnsi="宋体" w:eastAsia="宋体" w:cs="宋体"/>
          <w:color w:val="auto"/>
          <w:sz w:val="21"/>
          <w:szCs w:val="21"/>
          <w:highlight w:val="none"/>
        </w:rPr>
      </w:pPr>
      <w:r>
        <w:rPr>
          <w:rFonts w:hint="eastAsia" w:hAnsi="宋体" w:eastAsia="宋体" w:cs="宋体"/>
          <w:color w:val="auto"/>
          <w:sz w:val="21"/>
          <w:szCs w:val="21"/>
          <w:highlight w:val="none"/>
        </w:rPr>
        <w:t>采购合同签订生效后，服务</w:t>
      </w:r>
      <w:r>
        <w:rPr>
          <w:rFonts w:hint="eastAsia" w:hAnsi="宋体" w:eastAsia="宋体" w:cs="宋体"/>
          <w:color w:val="auto"/>
          <w:sz w:val="21"/>
          <w:szCs w:val="21"/>
          <w:highlight w:val="none"/>
          <w:lang w:val="zh-CN"/>
        </w:rPr>
        <w:t>费</w:t>
      </w:r>
      <w:r>
        <w:rPr>
          <w:rFonts w:hint="eastAsia" w:hAnsi="宋体" w:eastAsia="宋体" w:cs="宋体"/>
          <w:color w:val="auto"/>
          <w:sz w:val="21"/>
          <w:szCs w:val="21"/>
          <w:highlight w:val="none"/>
        </w:rPr>
        <w:t>每月结算一次</w:t>
      </w:r>
      <w:r>
        <w:rPr>
          <w:rFonts w:hint="eastAsia" w:hAnsi="宋体" w:eastAsia="宋体" w:cs="宋体"/>
          <w:color w:val="auto"/>
          <w:sz w:val="21"/>
          <w:szCs w:val="21"/>
          <w:highlight w:val="none"/>
          <w:lang w:val="zh-CN"/>
        </w:rPr>
        <w:t>，每</w:t>
      </w:r>
      <w:r>
        <w:rPr>
          <w:rFonts w:hint="eastAsia" w:hAnsi="宋体" w:eastAsia="宋体" w:cs="宋体"/>
          <w:color w:val="auto"/>
          <w:sz w:val="21"/>
          <w:szCs w:val="21"/>
          <w:highlight w:val="none"/>
        </w:rPr>
        <w:t>月</w:t>
      </w:r>
      <w:r>
        <w:rPr>
          <w:rFonts w:hint="eastAsia" w:hAnsi="宋体" w:eastAsia="宋体" w:cs="宋体"/>
          <w:color w:val="auto"/>
          <w:sz w:val="21"/>
          <w:szCs w:val="21"/>
          <w:highlight w:val="none"/>
          <w:lang w:val="zh-CN"/>
        </w:rPr>
        <w:t>应结算的</w:t>
      </w:r>
      <w:r>
        <w:rPr>
          <w:rFonts w:hint="eastAsia" w:hAnsi="宋体" w:eastAsia="宋体" w:cs="宋体"/>
          <w:color w:val="auto"/>
          <w:sz w:val="21"/>
          <w:szCs w:val="21"/>
          <w:highlight w:val="none"/>
        </w:rPr>
        <w:t>服务</w:t>
      </w:r>
      <w:r>
        <w:rPr>
          <w:rFonts w:hint="eastAsia" w:hAnsi="宋体" w:eastAsia="宋体" w:cs="宋体"/>
          <w:color w:val="auto"/>
          <w:sz w:val="21"/>
          <w:szCs w:val="21"/>
          <w:highlight w:val="none"/>
          <w:lang w:val="zh-CN"/>
        </w:rPr>
        <w:t>费=</w:t>
      </w:r>
      <w:r>
        <w:rPr>
          <w:rFonts w:hint="eastAsia" w:hAnsi="宋体" w:eastAsia="宋体" w:cs="宋体"/>
          <w:color w:val="auto"/>
          <w:sz w:val="21"/>
          <w:szCs w:val="21"/>
          <w:highlight w:val="none"/>
        </w:rPr>
        <w:t>实际到岗人员服务费（合同总价/24）-考核扣款</w:t>
      </w:r>
      <w:r>
        <w:rPr>
          <w:rFonts w:hint="eastAsia" w:hAnsi="宋体" w:eastAsia="宋体" w:cs="宋体"/>
          <w:color w:val="auto"/>
          <w:sz w:val="21"/>
          <w:szCs w:val="21"/>
          <w:highlight w:val="none"/>
          <w:lang w:val="zh-CN"/>
        </w:rPr>
        <w:t>；当月款项</w:t>
      </w:r>
      <w:r>
        <w:rPr>
          <w:rFonts w:hint="eastAsia" w:hAnsi="宋体" w:eastAsia="宋体" w:cs="宋体"/>
          <w:color w:val="auto"/>
          <w:sz w:val="21"/>
          <w:szCs w:val="21"/>
          <w:highlight w:val="none"/>
        </w:rPr>
        <w:t>在甲方收到乙方发票后15日内进行支付。</w:t>
      </w:r>
    </w:p>
    <w:p w14:paraId="44E08003">
      <w:pPr>
        <w:pStyle w:val="230"/>
        <w:spacing w:line="480" w:lineRule="exact"/>
        <w:ind w:firstLine="482"/>
        <w:rPr>
          <w:rFonts w:hint="eastAsia" w:hAnsi="宋体" w:eastAsia="宋体" w:cs="宋体"/>
          <w:color w:val="auto"/>
          <w:sz w:val="21"/>
          <w:szCs w:val="21"/>
          <w:highlight w:val="none"/>
        </w:rPr>
      </w:pPr>
      <w:r>
        <w:rPr>
          <w:rFonts w:hint="eastAsia" w:hAnsi="宋体" w:eastAsia="宋体" w:cs="宋体"/>
          <w:color w:val="auto"/>
          <w:sz w:val="21"/>
          <w:szCs w:val="21"/>
          <w:highlight w:val="none"/>
        </w:rPr>
        <w:t>6</w:t>
      </w:r>
      <w:r>
        <w:rPr>
          <w:rFonts w:hint="eastAsia" w:hAnsi="宋体" w:eastAsia="宋体" w:cs="宋体"/>
          <w:color w:val="auto"/>
          <w:sz w:val="21"/>
          <w:szCs w:val="21"/>
          <w:highlight w:val="none"/>
          <w:lang w:val="zh-CN"/>
        </w:rPr>
        <w:t>、</w:t>
      </w:r>
      <w:r>
        <w:rPr>
          <w:rFonts w:hint="eastAsia" w:hAnsi="宋体" w:eastAsia="宋体" w:cs="宋体"/>
          <w:color w:val="auto"/>
          <w:sz w:val="21"/>
          <w:szCs w:val="21"/>
          <w:highlight w:val="none"/>
        </w:rPr>
        <w:t>成交人须严格按照国家和政府规定给所有的员工缴纳各种社会保险（包括养老、医疗、工伤、生育险、失业保险等）。负责其招聘员工的一切工资、福利；如发生工伤、疾病乃至死亡的一切责任及费用由成交人全部负责；应严格遵守国家有关的法律、法规及行业标准，否则采购人有权终止合同。</w:t>
      </w:r>
    </w:p>
    <w:p w14:paraId="739BD53E">
      <w:pPr>
        <w:pStyle w:val="230"/>
        <w:spacing w:line="480" w:lineRule="exact"/>
        <w:ind w:firstLine="482"/>
        <w:rPr>
          <w:rFonts w:hint="eastAsia" w:hAnsi="宋体" w:eastAsia="宋体" w:cs="宋体"/>
          <w:color w:val="auto"/>
          <w:sz w:val="21"/>
          <w:szCs w:val="21"/>
          <w:highlight w:val="none"/>
        </w:rPr>
      </w:pPr>
      <w:r>
        <w:rPr>
          <w:rFonts w:hint="eastAsia" w:hAnsi="宋体" w:eastAsia="宋体" w:cs="宋体"/>
          <w:color w:val="auto"/>
          <w:sz w:val="21"/>
          <w:szCs w:val="21"/>
          <w:highlight w:val="none"/>
        </w:rPr>
        <w:t>7、采购人不接受响应单位任何因遗漏报价而发生的费用追加，因响应单位违反《中华人民共和国劳动法》等法律法规而造成采购人的连带责任和损失全部由成交方承担。</w:t>
      </w:r>
    </w:p>
    <w:p w14:paraId="3C50A9C7">
      <w:pPr>
        <w:pStyle w:val="230"/>
        <w:spacing w:line="480" w:lineRule="exact"/>
        <w:ind w:firstLine="482"/>
        <w:rPr>
          <w:rFonts w:hint="eastAsia" w:hAnsi="宋体" w:eastAsia="宋体" w:cs="宋体"/>
          <w:color w:val="auto"/>
          <w:sz w:val="21"/>
          <w:szCs w:val="21"/>
          <w:highlight w:val="none"/>
        </w:rPr>
      </w:pPr>
      <w:r>
        <w:rPr>
          <w:rFonts w:hint="eastAsia" w:hAnsi="宋体" w:eastAsia="宋体" w:cs="宋体"/>
          <w:color w:val="auto"/>
          <w:sz w:val="21"/>
          <w:szCs w:val="21"/>
          <w:highlight w:val="none"/>
        </w:rPr>
        <w:t>8、响应单位应在投标文件中说明，如能成交，在服务过程中需要采购人配合的工作和需要提供的条件，采购人有权拒绝服务期间新增的各类请求配合或提供的项目。</w:t>
      </w:r>
    </w:p>
    <w:p w14:paraId="7D8E13AD">
      <w:pPr>
        <w:spacing w:line="400" w:lineRule="exact"/>
        <w:ind w:firstLine="420"/>
        <w:rPr>
          <w:rFonts w:hint="eastAsia" w:ascii="宋体" w:hAnsi="宋体" w:cs="宋体"/>
          <w:color w:val="auto"/>
          <w:highlight w:val="none"/>
        </w:rPr>
      </w:pPr>
      <w:r>
        <w:rPr>
          <w:rFonts w:hint="eastAsia" w:ascii="宋体" w:hAnsi="宋体" w:cs="宋体"/>
          <w:color w:val="auto"/>
          <w:highlight w:val="none"/>
        </w:rPr>
        <w:t>9、各响应单位须对所有服务进行报价，否则视为无效投标。</w:t>
      </w:r>
    </w:p>
    <w:p w14:paraId="4E95D2A0">
      <w:pPr>
        <w:spacing w:line="400" w:lineRule="exact"/>
        <w:ind w:firstLine="420"/>
        <w:rPr>
          <w:rFonts w:hint="eastAsia" w:ascii="宋体" w:hAnsi="宋体" w:cs="宋体"/>
          <w:color w:val="auto"/>
          <w:highlight w:val="none"/>
        </w:rPr>
      </w:pPr>
      <w:r>
        <w:rPr>
          <w:rFonts w:hint="eastAsia" w:ascii="宋体" w:hAnsi="宋体" w:cs="宋体"/>
          <w:color w:val="auto"/>
          <w:highlight w:val="none"/>
        </w:rPr>
        <w:t>（1）以人民币报价；按附表格式进行报价；</w:t>
      </w:r>
    </w:p>
    <w:p w14:paraId="64BE2ADA">
      <w:pPr>
        <w:spacing w:line="400" w:lineRule="exact"/>
        <w:ind w:firstLine="420"/>
        <w:rPr>
          <w:rFonts w:hint="eastAsia" w:ascii="宋体" w:hAnsi="宋体" w:cs="宋体"/>
          <w:color w:val="auto"/>
          <w:highlight w:val="none"/>
        </w:rPr>
      </w:pPr>
      <w:r>
        <w:rPr>
          <w:rFonts w:hint="eastAsia" w:ascii="宋体" w:hAnsi="宋体" w:cs="宋体"/>
          <w:color w:val="auto"/>
          <w:highlight w:val="none"/>
        </w:rPr>
        <w:t>（2）本次招标的最终报价为本项目的总报价。</w:t>
      </w:r>
    </w:p>
    <w:p w14:paraId="6E7EC828">
      <w:pPr>
        <w:pStyle w:val="230"/>
        <w:spacing w:line="480" w:lineRule="exact"/>
        <w:ind w:firstLine="482"/>
        <w:rPr>
          <w:rFonts w:hint="eastAsia" w:hAnsi="宋体" w:eastAsia="宋体" w:cs="宋体"/>
          <w:color w:val="auto"/>
          <w:sz w:val="21"/>
          <w:szCs w:val="21"/>
          <w:highlight w:val="none"/>
        </w:rPr>
      </w:pPr>
      <w:r>
        <w:rPr>
          <w:rFonts w:hint="eastAsia" w:hAnsi="宋体" w:eastAsia="宋体" w:cs="宋体"/>
          <w:color w:val="auto"/>
          <w:sz w:val="21"/>
          <w:szCs w:val="21"/>
          <w:highlight w:val="none"/>
        </w:rPr>
        <w:t>五、考核办法与考核标准</w:t>
      </w:r>
    </w:p>
    <w:p w14:paraId="10D19401">
      <w:pPr>
        <w:tabs>
          <w:tab w:val="left" w:pos="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1）考核标准：</w:t>
      </w:r>
    </w:p>
    <w:p w14:paraId="5327AC60">
      <w:pPr>
        <w:tabs>
          <w:tab w:val="left" w:pos="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①考核期内不得出现因管理不善导致的偷盗、水淹、火灾、人员重伤的安全事故。发生损失在1万以下的偷盗事故或水淹、火灾的，扣除5分；轻伤事故的，依据实际情况，扣除10分；发生损失在1万及以上，5万以下的偷盗事故或水淹、火灾的，扣15分；发生人员重伤，偷盗或水淹、火灾事故损失5万及以上的，一律扣除20分，并扣除当月所有管理费用。</w:t>
      </w:r>
    </w:p>
    <w:p w14:paraId="340CB9B0">
      <w:pPr>
        <w:tabs>
          <w:tab w:val="left" w:pos="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②运营年度内不得出现因管理不善导致的政府部门（含消防、综合执法等部门）的处罚或通报和媒体曝光。每发生一起扣20分。</w:t>
      </w:r>
    </w:p>
    <w:p w14:paraId="673C7478">
      <w:pPr>
        <w:numPr>
          <w:ilvl w:val="0"/>
          <w:numId w:val="7"/>
        </w:numPr>
        <w:tabs>
          <w:tab w:val="left" w:pos="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考核评分表</w:t>
      </w:r>
    </w:p>
    <w:tbl>
      <w:tblPr>
        <w:tblStyle w:val="43"/>
        <w:tblpPr w:leftFromText="180" w:rightFromText="180" w:vertAnchor="text" w:horzAnchor="page" w:tblpXSpec="center" w:tblpY="4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0"/>
        <w:gridCol w:w="8267"/>
        <w:gridCol w:w="499"/>
      </w:tblGrid>
      <w:tr w14:paraId="155CC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0" w:type="auto"/>
            <w:vAlign w:val="center"/>
          </w:tcPr>
          <w:p w14:paraId="154D1024">
            <w:pPr>
              <w:jc w:val="center"/>
              <w:rPr>
                <w:rFonts w:hint="eastAsia" w:ascii="宋体" w:hAnsi="宋体" w:cs="宋体"/>
                <w:bCs/>
                <w:color w:val="auto"/>
                <w:szCs w:val="21"/>
                <w:highlight w:val="none"/>
              </w:rPr>
            </w:pPr>
            <w:r>
              <w:rPr>
                <w:rFonts w:hint="eastAsia" w:ascii="宋体" w:hAnsi="宋体" w:cs="宋体"/>
                <w:bCs/>
                <w:color w:val="auto"/>
                <w:szCs w:val="21"/>
                <w:highlight w:val="none"/>
              </w:rPr>
              <w:t>序号</w:t>
            </w:r>
          </w:p>
        </w:tc>
        <w:tc>
          <w:tcPr>
            <w:tcW w:w="0" w:type="auto"/>
            <w:vAlign w:val="center"/>
          </w:tcPr>
          <w:p w14:paraId="4870E1CF">
            <w:pPr>
              <w:jc w:val="center"/>
              <w:rPr>
                <w:rFonts w:hint="eastAsia" w:ascii="宋体" w:hAnsi="宋体" w:cs="宋体"/>
                <w:bCs/>
                <w:color w:val="auto"/>
                <w:szCs w:val="21"/>
                <w:highlight w:val="none"/>
              </w:rPr>
            </w:pPr>
            <w:r>
              <w:rPr>
                <w:rFonts w:hint="eastAsia" w:ascii="宋体" w:hAnsi="宋体" w:cs="宋体"/>
                <w:bCs/>
                <w:color w:val="auto"/>
                <w:szCs w:val="21"/>
                <w:highlight w:val="none"/>
              </w:rPr>
              <w:t>标准内容</w:t>
            </w:r>
          </w:p>
        </w:tc>
        <w:tc>
          <w:tcPr>
            <w:tcW w:w="0" w:type="auto"/>
            <w:vAlign w:val="center"/>
          </w:tcPr>
          <w:p w14:paraId="2D93ACE6">
            <w:pPr>
              <w:jc w:val="center"/>
              <w:rPr>
                <w:rFonts w:hint="eastAsia" w:ascii="宋体" w:hAnsi="宋体" w:cs="宋体"/>
                <w:bCs/>
                <w:color w:val="auto"/>
                <w:szCs w:val="21"/>
                <w:highlight w:val="none"/>
              </w:rPr>
            </w:pPr>
            <w:r>
              <w:rPr>
                <w:rFonts w:hint="eastAsia" w:ascii="宋体" w:hAnsi="宋体" w:cs="宋体"/>
                <w:bCs/>
                <w:color w:val="auto"/>
                <w:szCs w:val="21"/>
                <w:highlight w:val="none"/>
              </w:rPr>
              <w:t>分值</w:t>
            </w:r>
          </w:p>
        </w:tc>
      </w:tr>
      <w:tr w14:paraId="30479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0" w:type="auto"/>
            <w:vMerge w:val="restart"/>
            <w:vAlign w:val="center"/>
          </w:tcPr>
          <w:p w14:paraId="22468420">
            <w:pPr>
              <w:jc w:val="center"/>
              <w:rPr>
                <w:rFonts w:hint="eastAsia" w:ascii="宋体" w:hAnsi="宋体" w:cs="宋体"/>
                <w:bCs/>
                <w:color w:val="auto"/>
                <w:szCs w:val="21"/>
                <w:highlight w:val="none"/>
              </w:rPr>
            </w:pPr>
            <w:r>
              <w:rPr>
                <w:rFonts w:hint="eastAsia" w:ascii="宋体" w:hAnsi="宋体" w:cs="宋体"/>
                <w:bCs/>
                <w:color w:val="auto"/>
                <w:szCs w:val="21"/>
                <w:highlight w:val="none"/>
              </w:rPr>
              <w:t>A</w:t>
            </w:r>
          </w:p>
        </w:tc>
        <w:tc>
          <w:tcPr>
            <w:tcW w:w="0" w:type="auto"/>
            <w:shd w:val="clear" w:color="auto" w:fill="C0C0C0"/>
            <w:vAlign w:val="center"/>
          </w:tcPr>
          <w:p w14:paraId="0647956C">
            <w:pPr>
              <w:jc w:val="center"/>
              <w:rPr>
                <w:rFonts w:hint="eastAsia" w:ascii="宋体" w:hAnsi="宋体" w:cs="宋体"/>
                <w:bCs/>
                <w:color w:val="auto"/>
                <w:szCs w:val="21"/>
                <w:highlight w:val="none"/>
              </w:rPr>
            </w:pPr>
            <w:r>
              <w:rPr>
                <w:rFonts w:hint="eastAsia" w:ascii="宋体" w:hAnsi="宋体" w:cs="宋体"/>
                <w:bCs/>
                <w:color w:val="auto"/>
                <w:szCs w:val="21"/>
                <w:highlight w:val="none"/>
              </w:rPr>
              <w:t>综合管理要求</w:t>
            </w:r>
          </w:p>
        </w:tc>
        <w:tc>
          <w:tcPr>
            <w:tcW w:w="0" w:type="auto"/>
            <w:shd w:val="clear" w:color="auto" w:fill="C0C0C0"/>
            <w:vAlign w:val="center"/>
          </w:tcPr>
          <w:p w14:paraId="033C02E4">
            <w:pPr>
              <w:jc w:val="center"/>
              <w:rPr>
                <w:rFonts w:hint="eastAsia" w:ascii="宋体" w:hAnsi="宋体" w:cs="宋体"/>
                <w:bCs/>
                <w:color w:val="auto"/>
                <w:szCs w:val="21"/>
                <w:highlight w:val="none"/>
              </w:rPr>
            </w:pPr>
            <w:r>
              <w:rPr>
                <w:rFonts w:hint="eastAsia" w:ascii="宋体" w:hAnsi="宋体" w:cs="宋体"/>
                <w:bCs/>
                <w:color w:val="auto"/>
                <w:szCs w:val="21"/>
                <w:highlight w:val="none"/>
              </w:rPr>
              <w:t>20</w:t>
            </w:r>
          </w:p>
        </w:tc>
      </w:tr>
      <w:tr w14:paraId="4C652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0" w:type="auto"/>
            <w:vMerge w:val="continue"/>
            <w:vAlign w:val="center"/>
          </w:tcPr>
          <w:p w14:paraId="447447FA">
            <w:pPr>
              <w:jc w:val="center"/>
              <w:rPr>
                <w:rFonts w:hint="eastAsia" w:ascii="宋体" w:hAnsi="宋体" w:cs="宋体"/>
                <w:bCs/>
                <w:color w:val="auto"/>
                <w:szCs w:val="21"/>
                <w:highlight w:val="none"/>
              </w:rPr>
            </w:pPr>
          </w:p>
        </w:tc>
        <w:tc>
          <w:tcPr>
            <w:tcW w:w="0" w:type="auto"/>
            <w:vAlign w:val="center"/>
          </w:tcPr>
          <w:p w14:paraId="3BFA22EE">
            <w:pPr>
              <w:rPr>
                <w:rFonts w:hint="eastAsia" w:ascii="宋体" w:hAnsi="宋体" w:cs="宋体"/>
                <w:bCs/>
                <w:color w:val="auto"/>
                <w:szCs w:val="21"/>
                <w:highlight w:val="none"/>
              </w:rPr>
            </w:pPr>
            <w:r>
              <w:rPr>
                <w:rFonts w:hint="eastAsia" w:ascii="宋体" w:hAnsi="宋体" w:cs="宋体"/>
                <w:bCs/>
                <w:color w:val="auto"/>
                <w:szCs w:val="21"/>
                <w:highlight w:val="none"/>
              </w:rPr>
              <w:t>1．管理人员和专业技术人员持证上岗；所有员工需具备相应资质，符合招标文件年龄及健康等要求。员工统一着装，佩戴明显标志，工作规范、作风严谨、礼仪服务到位。项目经理履行岗位职责，并督促员工遵守各种规章制度。</w:t>
            </w:r>
          </w:p>
        </w:tc>
        <w:tc>
          <w:tcPr>
            <w:tcW w:w="0" w:type="auto"/>
            <w:vAlign w:val="center"/>
          </w:tcPr>
          <w:p w14:paraId="061AC787">
            <w:pPr>
              <w:jc w:val="center"/>
              <w:rPr>
                <w:rFonts w:hint="eastAsia" w:ascii="宋体" w:hAnsi="宋体" w:cs="宋体"/>
                <w:bCs/>
                <w:color w:val="auto"/>
                <w:szCs w:val="21"/>
                <w:highlight w:val="none"/>
              </w:rPr>
            </w:pPr>
            <w:r>
              <w:rPr>
                <w:rFonts w:hint="eastAsia" w:ascii="宋体" w:hAnsi="宋体" w:cs="宋体"/>
                <w:bCs/>
                <w:color w:val="auto"/>
                <w:szCs w:val="21"/>
                <w:highlight w:val="none"/>
              </w:rPr>
              <w:t>5</w:t>
            </w:r>
          </w:p>
        </w:tc>
      </w:tr>
      <w:tr w14:paraId="6B62D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0" w:type="auto"/>
            <w:vMerge w:val="continue"/>
            <w:vAlign w:val="center"/>
          </w:tcPr>
          <w:p w14:paraId="5FE13191">
            <w:pPr>
              <w:jc w:val="center"/>
              <w:rPr>
                <w:rFonts w:hint="eastAsia" w:ascii="宋体" w:hAnsi="宋体" w:cs="宋体"/>
                <w:bCs/>
                <w:color w:val="auto"/>
                <w:szCs w:val="21"/>
                <w:highlight w:val="none"/>
              </w:rPr>
            </w:pPr>
          </w:p>
        </w:tc>
        <w:tc>
          <w:tcPr>
            <w:tcW w:w="0" w:type="auto"/>
            <w:vAlign w:val="center"/>
          </w:tcPr>
          <w:p w14:paraId="5D377D76">
            <w:pPr>
              <w:rPr>
                <w:rFonts w:hint="eastAsia" w:ascii="宋体" w:hAnsi="宋体" w:cs="宋体"/>
                <w:bCs/>
                <w:color w:val="auto"/>
                <w:szCs w:val="21"/>
                <w:highlight w:val="none"/>
              </w:rPr>
            </w:pPr>
            <w:r>
              <w:rPr>
                <w:rFonts w:hint="eastAsia" w:ascii="宋体" w:hAnsi="宋体" w:cs="宋体"/>
                <w:bCs/>
                <w:color w:val="auto"/>
                <w:szCs w:val="21"/>
                <w:highlight w:val="none"/>
              </w:rPr>
              <w:t>2．建立健全各项标准化、规范化管理制度、各岗位工作按流程执行，并制定具体的落实措施和考核办法。</w:t>
            </w:r>
          </w:p>
        </w:tc>
        <w:tc>
          <w:tcPr>
            <w:tcW w:w="0" w:type="auto"/>
            <w:vAlign w:val="center"/>
          </w:tcPr>
          <w:p w14:paraId="34D50663">
            <w:pPr>
              <w:jc w:val="center"/>
              <w:rPr>
                <w:rFonts w:hint="eastAsia" w:ascii="宋体" w:hAnsi="宋体" w:cs="宋体"/>
                <w:bCs/>
                <w:color w:val="auto"/>
                <w:szCs w:val="21"/>
                <w:highlight w:val="none"/>
              </w:rPr>
            </w:pPr>
            <w:r>
              <w:rPr>
                <w:rFonts w:hint="eastAsia" w:ascii="宋体" w:hAnsi="宋体" w:cs="宋体"/>
                <w:bCs/>
                <w:color w:val="auto"/>
                <w:szCs w:val="21"/>
                <w:highlight w:val="none"/>
              </w:rPr>
              <w:t>3</w:t>
            </w:r>
          </w:p>
        </w:tc>
      </w:tr>
      <w:tr w14:paraId="628D3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0" w:type="auto"/>
            <w:vMerge w:val="continue"/>
            <w:vAlign w:val="center"/>
          </w:tcPr>
          <w:p w14:paraId="4A6E1ECF">
            <w:pPr>
              <w:jc w:val="center"/>
              <w:rPr>
                <w:rFonts w:hint="eastAsia" w:ascii="宋体" w:hAnsi="宋体" w:cs="宋体"/>
                <w:bCs/>
                <w:color w:val="auto"/>
                <w:szCs w:val="21"/>
                <w:highlight w:val="none"/>
              </w:rPr>
            </w:pPr>
          </w:p>
        </w:tc>
        <w:tc>
          <w:tcPr>
            <w:tcW w:w="0" w:type="auto"/>
            <w:vAlign w:val="center"/>
          </w:tcPr>
          <w:p w14:paraId="7DA0D42C">
            <w:pPr>
              <w:rPr>
                <w:rFonts w:hint="eastAsia" w:ascii="宋体" w:hAnsi="宋体" w:cs="宋体"/>
                <w:bCs/>
                <w:color w:val="auto"/>
                <w:szCs w:val="21"/>
                <w:highlight w:val="none"/>
              </w:rPr>
            </w:pPr>
            <w:r>
              <w:rPr>
                <w:rFonts w:hint="eastAsia" w:ascii="宋体" w:hAnsi="宋体" w:cs="宋体"/>
                <w:bCs/>
                <w:color w:val="auto"/>
                <w:szCs w:val="21"/>
                <w:highlight w:val="none"/>
              </w:rPr>
              <w:t>3．按规定进行安全巡视，以定期不定期抽查监控及现场查看等形式考察。</w:t>
            </w:r>
          </w:p>
        </w:tc>
        <w:tc>
          <w:tcPr>
            <w:tcW w:w="0" w:type="auto"/>
            <w:vAlign w:val="center"/>
          </w:tcPr>
          <w:p w14:paraId="1DF8882F">
            <w:pPr>
              <w:jc w:val="center"/>
              <w:rPr>
                <w:rFonts w:hint="eastAsia" w:ascii="宋体" w:hAnsi="宋体" w:cs="宋体"/>
                <w:bCs/>
                <w:color w:val="auto"/>
                <w:szCs w:val="21"/>
                <w:highlight w:val="none"/>
              </w:rPr>
            </w:pPr>
            <w:r>
              <w:rPr>
                <w:rFonts w:hint="eastAsia" w:ascii="宋体" w:hAnsi="宋体" w:cs="宋体"/>
                <w:bCs/>
                <w:color w:val="auto"/>
                <w:szCs w:val="21"/>
                <w:highlight w:val="none"/>
              </w:rPr>
              <w:t>3</w:t>
            </w:r>
          </w:p>
        </w:tc>
      </w:tr>
      <w:tr w14:paraId="05300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0" w:type="auto"/>
            <w:vMerge w:val="continue"/>
            <w:vAlign w:val="center"/>
          </w:tcPr>
          <w:p w14:paraId="5DB62DC1">
            <w:pPr>
              <w:jc w:val="center"/>
              <w:rPr>
                <w:rFonts w:hint="eastAsia" w:ascii="宋体" w:hAnsi="宋体" w:cs="宋体"/>
                <w:bCs/>
                <w:color w:val="auto"/>
                <w:szCs w:val="21"/>
                <w:highlight w:val="none"/>
              </w:rPr>
            </w:pPr>
          </w:p>
        </w:tc>
        <w:tc>
          <w:tcPr>
            <w:tcW w:w="0" w:type="auto"/>
            <w:vAlign w:val="center"/>
          </w:tcPr>
          <w:p w14:paraId="31062266">
            <w:pPr>
              <w:rPr>
                <w:rFonts w:hint="eastAsia" w:ascii="宋体" w:hAnsi="宋体" w:cs="宋体"/>
                <w:bCs/>
                <w:color w:val="auto"/>
                <w:szCs w:val="21"/>
                <w:highlight w:val="none"/>
              </w:rPr>
            </w:pPr>
            <w:r>
              <w:rPr>
                <w:rFonts w:hint="eastAsia" w:ascii="宋体" w:hAnsi="宋体" w:cs="宋体"/>
                <w:bCs/>
                <w:color w:val="auto"/>
                <w:szCs w:val="21"/>
                <w:highlight w:val="none"/>
              </w:rPr>
              <w:t>4．有员工培训计划，定期组织各类培训工作，并做好培训记录；效果显著。</w:t>
            </w:r>
          </w:p>
        </w:tc>
        <w:tc>
          <w:tcPr>
            <w:tcW w:w="0" w:type="auto"/>
            <w:vAlign w:val="center"/>
          </w:tcPr>
          <w:p w14:paraId="5362825D">
            <w:pPr>
              <w:jc w:val="center"/>
              <w:rPr>
                <w:rFonts w:hint="eastAsia" w:ascii="宋体" w:hAnsi="宋体" w:cs="宋体"/>
                <w:bCs/>
                <w:color w:val="auto"/>
                <w:szCs w:val="21"/>
                <w:highlight w:val="none"/>
              </w:rPr>
            </w:pPr>
            <w:r>
              <w:rPr>
                <w:rFonts w:hint="eastAsia" w:ascii="宋体" w:hAnsi="宋体" w:cs="宋体"/>
                <w:bCs/>
                <w:color w:val="auto"/>
                <w:szCs w:val="21"/>
                <w:highlight w:val="none"/>
              </w:rPr>
              <w:t>4</w:t>
            </w:r>
          </w:p>
        </w:tc>
      </w:tr>
      <w:tr w14:paraId="1110D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 w:hRule="atLeast"/>
          <w:jc w:val="center"/>
        </w:trPr>
        <w:tc>
          <w:tcPr>
            <w:tcW w:w="0" w:type="auto"/>
            <w:vMerge w:val="continue"/>
            <w:vAlign w:val="center"/>
          </w:tcPr>
          <w:p w14:paraId="1E4CDFB2">
            <w:pPr>
              <w:jc w:val="center"/>
              <w:rPr>
                <w:rFonts w:hint="eastAsia" w:ascii="宋体" w:hAnsi="宋体" w:cs="宋体"/>
                <w:bCs/>
                <w:color w:val="auto"/>
                <w:szCs w:val="21"/>
                <w:highlight w:val="none"/>
              </w:rPr>
            </w:pPr>
          </w:p>
        </w:tc>
        <w:tc>
          <w:tcPr>
            <w:tcW w:w="0" w:type="auto"/>
            <w:vAlign w:val="center"/>
          </w:tcPr>
          <w:p w14:paraId="062E72E1">
            <w:pPr>
              <w:rPr>
                <w:rFonts w:hint="eastAsia" w:ascii="宋体" w:hAnsi="宋体" w:cs="宋体"/>
                <w:bCs/>
                <w:color w:val="auto"/>
                <w:szCs w:val="21"/>
                <w:highlight w:val="none"/>
              </w:rPr>
            </w:pPr>
            <w:r>
              <w:rPr>
                <w:rFonts w:hint="eastAsia" w:ascii="宋体" w:hAnsi="宋体" w:cs="宋体"/>
                <w:bCs/>
                <w:color w:val="auto"/>
                <w:szCs w:val="21"/>
                <w:highlight w:val="none"/>
              </w:rPr>
              <w:t>5．相关员工熟练使用对讲机等设施设备，保证能及时响应工作需求及紧急情况。</w:t>
            </w:r>
          </w:p>
        </w:tc>
        <w:tc>
          <w:tcPr>
            <w:tcW w:w="0" w:type="auto"/>
            <w:vAlign w:val="center"/>
          </w:tcPr>
          <w:p w14:paraId="3EF9D298">
            <w:pPr>
              <w:jc w:val="center"/>
              <w:rPr>
                <w:rFonts w:hint="eastAsia" w:ascii="宋体" w:hAnsi="宋体" w:cs="宋体"/>
                <w:bCs/>
                <w:color w:val="auto"/>
                <w:szCs w:val="21"/>
                <w:highlight w:val="none"/>
              </w:rPr>
            </w:pPr>
            <w:r>
              <w:rPr>
                <w:rFonts w:hint="eastAsia" w:ascii="宋体" w:hAnsi="宋体" w:cs="宋体"/>
                <w:bCs/>
                <w:color w:val="auto"/>
                <w:szCs w:val="21"/>
                <w:highlight w:val="none"/>
              </w:rPr>
              <w:t>5</w:t>
            </w:r>
          </w:p>
        </w:tc>
      </w:tr>
      <w:tr w14:paraId="1FA19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jc w:val="center"/>
        </w:trPr>
        <w:tc>
          <w:tcPr>
            <w:tcW w:w="0" w:type="auto"/>
            <w:vMerge w:val="restart"/>
            <w:vAlign w:val="center"/>
          </w:tcPr>
          <w:p w14:paraId="4DCF15E2">
            <w:pPr>
              <w:jc w:val="center"/>
              <w:rPr>
                <w:rFonts w:hint="eastAsia" w:ascii="宋体" w:hAnsi="宋体" w:cs="宋体"/>
                <w:bCs/>
                <w:color w:val="auto"/>
                <w:szCs w:val="21"/>
                <w:highlight w:val="none"/>
              </w:rPr>
            </w:pPr>
            <w:r>
              <w:rPr>
                <w:rFonts w:hint="eastAsia" w:ascii="宋体" w:hAnsi="宋体" w:cs="宋体"/>
                <w:bCs/>
                <w:color w:val="auto"/>
                <w:szCs w:val="21"/>
                <w:highlight w:val="none"/>
              </w:rPr>
              <w:t>B</w:t>
            </w:r>
          </w:p>
        </w:tc>
        <w:tc>
          <w:tcPr>
            <w:tcW w:w="0" w:type="auto"/>
            <w:tcBorders>
              <w:bottom w:val="single" w:color="auto" w:sz="4" w:space="0"/>
            </w:tcBorders>
            <w:shd w:val="clear" w:color="auto" w:fill="C0C0C0"/>
            <w:vAlign w:val="center"/>
          </w:tcPr>
          <w:p w14:paraId="1C876694">
            <w:pPr>
              <w:jc w:val="center"/>
              <w:rPr>
                <w:rFonts w:hint="eastAsia" w:ascii="宋体" w:hAnsi="宋体" w:cs="宋体"/>
                <w:bCs/>
                <w:color w:val="auto"/>
                <w:szCs w:val="21"/>
                <w:highlight w:val="none"/>
              </w:rPr>
            </w:pPr>
            <w:r>
              <w:rPr>
                <w:rFonts w:hint="eastAsia" w:ascii="宋体" w:hAnsi="宋体" w:cs="宋体"/>
                <w:bCs/>
                <w:color w:val="auto"/>
                <w:szCs w:val="21"/>
                <w:highlight w:val="none"/>
              </w:rPr>
              <w:t>护工</w:t>
            </w:r>
          </w:p>
        </w:tc>
        <w:tc>
          <w:tcPr>
            <w:tcW w:w="0" w:type="auto"/>
            <w:tcBorders>
              <w:bottom w:val="single" w:color="auto" w:sz="4" w:space="0"/>
            </w:tcBorders>
            <w:shd w:val="clear" w:color="auto" w:fill="C0C0C0"/>
            <w:vAlign w:val="center"/>
          </w:tcPr>
          <w:p w14:paraId="11770FB0">
            <w:pPr>
              <w:jc w:val="center"/>
              <w:rPr>
                <w:rFonts w:hint="eastAsia" w:ascii="宋体" w:hAnsi="宋体" w:cs="宋体"/>
                <w:bCs/>
                <w:color w:val="auto"/>
                <w:szCs w:val="21"/>
                <w:highlight w:val="none"/>
              </w:rPr>
            </w:pPr>
            <w:r>
              <w:rPr>
                <w:rFonts w:hint="eastAsia" w:ascii="宋体" w:hAnsi="宋体" w:cs="宋体"/>
                <w:bCs/>
                <w:color w:val="auto"/>
                <w:szCs w:val="21"/>
                <w:highlight w:val="none"/>
              </w:rPr>
              <w:t>26</w:t>
            </w:r>
          </w:p>
        </w:tc>
      </w:tr>
      <w:tr w14:paraId="2F442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jc w:val="center"/>
        </w:trPr>
        <w:tc>
          <w:tcPr>
            <w:tcW w:w="0" w:type="auto"/>
            <w:vMerge w:val="continue"/>
            <w:vAlign w:val="center"/>
          </w:tcPr>
          <w:p w14:paraId="15324537">
            <w:pPr>
              <w:jc w:val="center"/>
              <w:rPr>
                <w:rFonts w:hint="eastAsia" w:ascii="宋体" w:hAnsi="宋体" w:cs="宋体"/>
                <w:bCs/>
                <w:color w:val="auto"/>
                <w:szCs w:val="21"/>
                <w:highlight w:val="none"/>
              </w:rPr>
            </w:pPr>
          </w:p>
        </w:tc>
        <w:tc>
          <w:tcPr>
            <w:tcW w:w="0" w:type="auto"/>
            <w:shd w:val="clear" w:color="auto" w:fill="FFFFFF"/>
            <w:vAlign w:val="center"/>
          </w:tcPr>
          <w:p w14:paraId="4495FF9C">
            <w:pPr>
              <w:jc w:val="left"/>
              <w:rPr>
                <w:rFonts w:hint="eastAsia" w:ascii="宋体" w:hAnsi="宋体" w:cs="宋体"/>
                <w:bCs/>
                <w:color w:val="auto"/>
                <w:szCs w:val="21"/>
                <w:highlight w:val="none"/>
              </w:rPr>
            </w:pPr>
            <w:r>
              <w:rPr>
                <w:rFonts w:hint="eastAsia" w:ascii="宋体" w:hAnsi="宋体" w:cs="宋体"/>
                <w:bCs/>
                <w:color w:val="auto"/>
                <w:szCs w:val="21"/>
                <w:highlight w:val="none"/>
              </w:rPr>
              <w:t>1.护工队伍专门培训上岗，并有相应的培训证明。上岗后应定期进行培训，并有培训记录。需提供护工的健康体检报告。</w:t>
            </w:r>
          </w:p>
        </w:tc>
        <w:tc>
          <w:tcPr>
            <w:tcW w:w="0" w:type="auto"/>
            <w:shd w:val="clear" w:color="auto" w:fill="FFFFFF"/>
            <w:vAlign w:val="center"/>
          </w:tcPr>
          <w:p w14:paraId="497BD917">
            <w:pPr>
              <w:jc w:val="center"/>
              <w:rPr>
                <w:rFonts w:hint="eastAsia" w:ascii="宋体" w:hAnsi="宋体" w:cs="宋体"/>
                <w:bCs/>
                <w:color w:val="auto"/>
                <w:szCs w:val="21"/>
                <w:highlight w:val="none"/>
              </w:rPr>
            </w:pPr>
            <w:r>
              <w:rPr>
                <w:rFonts w:hint="eastAsia" w:ascii="宋体" w:hAnsi="宋体" w:cs="宋体"/>
                <w:bCs/>
                <w:color w:val="auto"/>
                <w:szCs w:val="21"/>
                <w:highlight w:val="none"/>
              </w:rPr>
              <w:t>2</w:t>
            </w:r>
          </w:p>
        </w:tc>
      </w:tr>
      <w:tr w14:paraId="7E2CC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jc w:val="center"/>
        </w:trPr>
        <w:tc>
          <w:tcPr>
            <w:tcW w:w="0" w:type="auto"/>
            <w:vMerge w:val="continue"/>
            <w:vAlign w:val="center"/>
          </w:tcPr>
          <w:p w14:paraId="6421C82E">
            <w:pPr>
              <w:jc w:val="center"/>
              <w:rPr>
                <w:rFonts w:hint="eastAsia" w:ascii="宋体" w:hAnsi="宋体" w:cs="宋体"/>
                <w:bCs/>
                <w:color w:val="auto"/>
                <w:szCs w:val="21"/>
                <w:highlight w:val="none"/>
              </w:rPr>
            </w:pPr>
          </w:p>
        </w:tc>
        <w:tc>
          <w:tcPr>
            <w:tcW w:w="0" w:type="auto"/>
            <w:shd w:val="clear" w:color="auto" w:fill="FFFFFF"/>
            <w:vAlign w:val="center"/>
          </w:tcPr>
          <w:p w14:paraId="7F096B31">
            <w:pPr>
              <w:jc w:val="left"/>
              <w:rPr>
                <w:rFonts w:hint="eastAsia" w:ascii="宋体" w:hAnsi="宋体" w:cs="宋体"/>
                <w:bCs/>
                <w:color w:val="auto"/>
                <w:szCs w:val="21"/>
                <w:highlight w:val="none"/>
              </w:rPr>
            </w:pPr>
            <w:r>
              <w:rPr>
                <w:rFonts w:hint="eastAsia" w:ascii="宋体" w:hAnsi="宋体" w:cs="宋体"/>
                <w:bCs/>
                <w:color w:val="auto"/>
                <w:szCs w:val="21"/>
                <w:highlight w:val="none"/>
              </w:rPr>
              <w:t>2.护工严格遵守医院相关的管理制度，上班期间不得扎堆聊天，抽烟、喝酒、赌博、干私活等，不得串岗及擅自离岗，不得随意调班，如有特殊情况需临时调班，需征得病区同意。</w:t>
            </w:r>
          </w:p>
        </w:tc>
        <w:tc>
          <w:tcPr>
            <w:tcW w:w="0" w:type="auto"/>
            <w:shd w:val="clear" w:color="auto" w:fill="FFFFFF"/>
            <w:vAlign w:val="center"/>
          </w:tcPr>
          <w:p w14:paraId="276238E1">
            <w:pPr>
              <w:jc w:val="center"/>
              <w:rPr>
                <w:rFonts w:hint="eastAsia" w:ascii="宋体" w:hAnsi="宋体" w:cs="宋体"/>
                <w:bCs/>
                <w:color w:val="auto"/>
                <w:szCs w:val="21"/>
                <w:highlight w:val="none"/>
              </w:rPr>
            </w:pPr>
            <w:r>
              <w:rPr>
                <w:rFonts w:hint="eastAsia" w:ascii="宋体" w:hAnsi="宋体" w:cs="宋体"/>
                <w:bCs/>
                <w:color w:val="auto"/>
                <w:szCs w:val="21"/>
                <w:highlight w:val="none"/>
              </w:rPr>
              <w:t>2</w:t>
            </w:r>
          </w:p>
        </w:tc>
      </w:tr>
      <w:tr w14:paraId="05E4F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jc w:val="center"/>
        </w:trPr>
        <w:tc>
          <w:tcPr>
            <w:tcW w:w="0" w:type="auto"/>
            <w:vMerge w:val="continue"/>
            <w:vAlign w:val="center"/>
          </w:tcPr>
          <w:p w14:paraId="182CD0EE">
            <w:pPr>
              <w:jc w:val="center"/>
              <w:rPr>
                <w:rFonts w:hint="eastAsia" w:ascii="宋体" w:hAnsi="宋体" w:cs="宋体"/>
                <w:bCs/>
                <w:color w:val="auto"/>
                <w:szCs w:val="21"/>
                <w:highlight w:val="none"/>
              </w:rPr>
            </w:pPr>
          </w:p>
        </w:tc>
        <w:tc>
          <w:tcPr>
            <w:tcW w:w="0" w:type="auto"/>
            <w:shd w:val="clear" w:color="auto" w:fill="FFFFFF"/>
            <w:vAlign w:val="center"/>
          </w:tcPr>
          <w:p w14:paraId="0A57EBD8">
            <w:pPr>
              <w:jc w:val="left"/>
              <w:rPr>
                <w:rFonts w:hint="eastAsia" w:ascii="宋体" w:hAnsi="宋体" w:cs="宋体"/>
                <w:bCs/>
                <w:color w:val="auto"/>
                <w:szCs w:val="21"/>
                <w:highlight w:val="none"/>
              </w:rPr>
            </w:pPr>
            <w:r>
              <w:rPr>
                <w:rFonts w:hint="eastAsia" w:ascii="宋体" w:hAnsi="宋体" w:cs="宋体"/>
                <w:bCs/>
                <w:color w:val="auto"/>
                <w:szCs w:val="21"/>
                <w:highlight w:val="none"/>
              </w:rPr>
              <w:t>3.护工仪表符合要求，穿工作服上岗，挂牌服务。</w:t>
            </w:r>
          </w:p>
        </w:tc>
        <w:tc>
          <w:tcPr>
            <w:tcW w:w="0" w:type="auto"/>
            <w:shd w:val="clear" w:color="auto" w:fill="FFFFFF"/>
            <w:vAlign w:val="center"/>
          </w:tcPr>
          <w:p w14:paraId="69FF657A">
            <w:pPr>
              <w:jc w:val="center"/>
              <w:rPr>
                <w:rFonts w:hint="eastAsia" w:ascii="宋体" w:hAnsi="宋体" w:cs="宋体"/>
                <w:bCs/>
                <w:color w:val="auto"/>
                <w:szCs w:val="21"/>
                <w:highlight w:val="none"/>
              </w:rPr>
            </w:pPr>
            <w:r>
              <w:rPr>
                <w:rFonts w:hint="eastAsia" w:ascii="宋体" w:hAnsi="宋体" w:cs="宋体"/>
                <w:bCs/>
                <w:color w:val="auto"/>
                <w:szCs w:val="21"/>
                <w:highlight w:val="none"/>
              </w:rPr>
              <w:t>1</w:t>
            </w:r>
          </w:p>
        </w:tc>
      </w:tr>
      <w:tr w14:paraId="07274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jc w:val="center"/>
        </w:trPr>
        <w:tc>
          <w:tcPr>
            <w:tcW w:w="0" w:type="auto"/>
            <w:vMerge w:val="continue"/>
            <w:vAlign w:val="center"/>
          </w:tcPr>
          <w:p w14:paraId="3C3F9B9C">
            <w:pPr>
              <w:jc w:val="center"/>
              <w:rPr>
                <w:rFonts w:hint="eastAsia" w:ascii="宋体" w:hAnsi="宋体" w:cs="宋体"/>
                <w:bCs/>
                <w:color w:val="auto"/>
                <w:szCs w:val="21"/>
                <w:highlight w:val="none"/>
              </w:rPr>
            </w:pPr>
          </w:p>
        </w:tc>
        <w:tc>
          <w:tcPr>
            <w:tcW w:w="0" w:type="auto"/>
            <w:shd w:val="clear" w:color="auto" w:fill="FFFFFF"/>
            <w:vAlign w:val="center"/>
          </w:tcPr>
          <w:p w14:paraId="6F41914D">
            <w:pPr>
              <w:jc w:val="left"/>
              <w:rPr>
                <w:rFonts w:hint="eastAsia" w:ascii="宋体" w:hAnsi="宋体" w:cs="宋体"/>
                <w:color w:val="auto"/>
                <w:szCs w:val="21"/>
                <w:highlight w:val="none"/>
              </w:rPr>
            </w:pPr>
            <w:r>
              <w:rPr>
                <w:rFonts w:hint="eastAsia" w:ascii="宋体" w:hAnsi="宋体" w:cs="宋体"/>
                <w:color w:val="auto"/>
                <w:szCs w:val="21"/>
                <w:highlight w:val="none"/>
              </w:rPr>
              <w:t>4.不与病人争吵或打架，用礼貌用语。做到“四轻”：走路轻、关门轻、说话轻、动作轻，不影响病人休息。</w:t>
            </w:r>
          </w:p>
        </w:tc>
        <w:tc>
          <w:tcPr>
            <w:tcW w:w="0" w:type="auto"/>
            <w:shd w:val="clear" w:color="auto" w:fill="FFFFFF"/>
            <w:vAlign w:val="center"/>
          </w:tcPr>
          <w:p w14:paraId="41702AD0">
            <w:pPr>
              <w:jc w:val="center"/>
              <w:rPr>
                <w:rFonts w:hint="eastAsia" w:ascii="宋体" w:hAnsi="宋体" w:cs="宋体"/>
                <w:bCs/>
                <w:color w:val="auto"/>
                <w:szCs w:val="21"/>
                <w:highlight w:val="none"/>
              </w:rPr>
            </w:pPr>
            <w:r>
              <w:rPr>
                <w:rFonts w:hint="eastAsia" w:ascii="宋体" w:hAnsi="宋体" w:cs="宋体"/>
                <w:bCs/>
                <w:color w:val="auto"/>
                <w:szCs w:val="21"/>
                <w:highlight w:val="none"/>
              </w:rPr>
              <w:t>2</w:t>
            </w:r>
          </w:p>
        </w:tc>
      </w:tr>
      <w:tr w14:paraId="2BB2A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jc w:val="center"/>
        </w:trPr>
        <w:tc>
          <w:tcPr>
            <w:tcW w:w="0" w:type="auto"/>
            <w:vMerge w:val="continue"/>
            <w:vAlign w:val="center"/>
          </w:tcPr>
          <w:p w14:paraId="07E297FE">
            <w:pPr>
              <w:jc w:val="center"/>
              <w:rPr>
                <w:rFonts w:hint="eastAsia" w:ascii="宋体" w:hAnsi="宋体" w:cs="宋体"/>
                <w:bCs/>
                <w:color w:val="auto"/>
                <w:szCs w:val="21"/>
                <w:highlight w:val="none"/>
              </w:rPr>
            </w:pPr>
          </w:p>
        </w:tc>
        <w:tc>
          <w:tcPr>
            <w:tcW w:w="0" w:type="auto"/>
            <w:shd w:val="clear" w:color="auto" w:fill="FFFFFF"/>
            <w:vAlign w:val="center"/>
          </w:tcPr>
          <w:p w14:paraId="1AED99CE">
            <w:pPr>
              <w:jc w:val="left"/>
              <w:rPr>
                <w:rFonts w:hint="eastAsia" w:ascii="宋体" w:hAnsi="宋体" w:cs="宋体"/>
                <w:bCs/>
                <w:color w:val="auto"/>
                <w:szCs w:val="21"/>
                <w:highlight w:val="none"/>
              </w:rPr>
            </w:pPr>
            <w:r>
              <w:rPr>
                <w:rFonts w:hint="eastAsia" w:ascii="宋体" w:hAnsi="宋体" w:cs="宋体"/>
                <w:bCs/>
                <w:color w:val="auto"/>
                <w:szCs w:val="21"/>
                <w:highlight w:val="none"/>
              </w:rPr>
              <w:t>5.不与病人谈论与工作无关的内容，禁止以照片、视频等任何形式泄露病人隐私。禁止私自为病区病人购物及向外传递物品、信件等。禁止向病人泄露工作人员家庭地址等个人信息。</w:t>
            </w:r>
          </w:p>
        </w:tc>
        <w:tc>
          <w:tcPr>
            <w:tcW w:w="0" w:type="auto"/>
            <w:shd w:val="clear" w:color="auto" w:fill="FFFFFF"/>
            <w:vAlign w:val="center"/>
          </w:tcPr>
          <w:p w14:paraId="283245F6">
            <w:pPr>
              <w:jc w:val="center"/>
              <w:rPr>
                <w:rFonts w:hint="eastAsia" w:ascii="宋体" w:hAnsi="宋体" w:cs="宋体"/>
                <w:bCs/>
                <w:color w:val="auto"/>
                <w:szCs w:val="21"/>
                <w:highlight w:val="none"/>
              </w:rPr>
            </w:pPr>
            <w:r>
              <w:rPr>
                <w:rFonts w:hint="eastAsia" w:ascii="宋体" w:hAnsi="宋体" w:cs="宋体"/>
                <w:bCs/>
                <w:color w:val="auto"/>
                <w:szCs w:val="21"/>
                <w:highlight w:val="none"/>
              </w:rPr>
              <w:t>2</w:t>
            </w:r>
          </w:p>
        </w:tc>
      </w:tr>
      <w:tr w14:paraId="1C6CD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jc w:val="center"/>
        </w:trPr>
        <w:tc>
          <w:tcPr>
            <w:tcW w:w="0" w:type="auto"/>
            <w:vMerge w:val="continue"/>
            <w:vAlign w:val="center"/>
          </w:tcPr>
          <w:p w14:paraId="7F6AA7F7">
            <w:pPr>
              <w:jc w:val="center"/>
              <w:rPr>
                <w:rFonts w:hint="eastAsia" w:ascii="宋体" w:hAnsi="宋体" w:cs="宋体"/>
                <w:bCs/>
                <w:color w:val="auto"/>
                <w:szCs w:val="21"/>
                <w:highlight w:val="none"/>
              </w:rPr>
            </w:pPr>
          </w:p>
        </w:tc>
        <w:tc>
          <w:tcPr>
            <w:tcW w:w="0" w:type="auto"/>
            <w:shd w:val="clear" w:color="auto" w:fill="FFFFFF"/>
            <w:vAlign w:val="center"/>
          </w:tcPr>
          <w:p w14:paraId="39BAA318">
            <w:pPr>
              <w:jc w:val="left"/>
              <w:rPr>
                <w:rFonts w:hint="eastAsia" w:ascii="宋体" w:hAnsi="宋体" w:cs="宋体"/>
                <w:bCs/>
                <w:color w:val="auto"/>
                <w:szCs w:val="21"/>
                <w:highlight w:val="none"/>
              </w:rPr>
            </w:pPr>
            <w:r>
              <w:rPr>
                <w:rFonts w:hint="eastAsia" w:ascii="宋体" w:hAnsi="宋体" w:cs="宋体"/>
                <w:bCs/>
                <w:color w:val="auto"/>
                <w:szCs w:val="21"/>
                <w:highlight w:val="none"/>
              </w:rPr>
              <w:t>6.不可长时间使用手机，不带除手机外的电子产品进入工作场所，无事不坐空房间。</w:t>
            </w:r>
          </w:p>
        </w:tc>
        <w:tc>
          <w:tcPr>
            <w:tcW w:w="0" w:type="auto"/>
            <w:shd w:val="clear" w:color="auto" w:fill="FFFFFF"/>
            <w:vAlign w:val="center"/>
          </w:tcPr>
          <w:p w14:paraId="480FAD01">
            <w:pPr>
              <w:jc w:val="center"/>
              <w:rPr>
                <w:rFonts w:hint="eastAsia" w:ascii="宋体" w:hAnsi="宋体" w:cs="宋体"/>
                <w:bCs/>
                <w:color w:val="auto"/>
                <w:szCs w:val="21"/>
                <w:highlight w:val="none"/>
              </w:rPr>
            </w:pPr>
            <w:r>
              <w:rPr>
                <w:rFonts w:hint="eastAsia" w:ascii="宋体" w:hAnsi="宋体" w:cs="宋体"/>
                <w:bCs/>
                <w:color w:val="auto"/>
                <w:szCs w:val="21"/>
                <w:highlight w:val="none"/>
              </w:rPr>
              <w:t>2</w:t>
            </w:r>
          </w:p>
        </w:tc>
      </w:tr>
      <w:tr w14:paraId="24F2F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jc w:val="center"/>
        </w:trPr>
        <w:tc>
          <w:tcPr>
            <w:tcW w:w="0" w:type="auto"/>
            <w:vMerge w:val="continue"/>
            <w:vAlign w:val="center"/>
          </w:tcPr>
          <w:p w14:paraId="17A74820">
            <w:pPr>
              <w:jc w:val="center"/>
              <w:rPr>
                <w:rFonts w:hint="eastAsia" w:ascii="宋体" w:hAnsi="宋体" w:cs="宋体"/>
                <w:bCs/>
                <w:color w:val="auto"/>
                <w:szCs w:val="21"/>
                <w:highlight w:val="none"/>
              </w:rPr>
            </w:pPr>
          </w:p>
        </w:tc>
        <w:tc>
          <w:tcPr>
            <w:tcW w:w="0" w:type="auto"/>
            <w:shd w:val="clear" w:color="auto" w:fill="FFFFFF"/>
            <w:vAlign w:val="center"/>
          </w:tcPr>
          <w:p w14:paraId="0786ACB9">
            <w:pPr>
              <w:jc w:val="left"/>
              <w:rPr>
                <w:rFonts w:hint="eastAsia" w:ascii="宋体" w:hAnsi="宋体" w:cs="宋体"/>
                <w:bCs/>
                <w:color w:val="auto"/>
                <w:szCs w:val="21"/>
                <w:highlight w:val="none"/>
              </w:rPr>
            </w:pPr>
            <w:r>
              <w:rPr>
                <w:rFonts w:hint="eastAsia" w:ascii="宋体" w:hAnsi="宋体" w:cs="宋体"/>
                <w:bCs/>
                <w:color w:val="auto"/>
                <w:szCs w:val="21"/>
                <w:highlight w:val="none"/>
              </w:rPr>
              <w:t>7.落实巡视制度，定期检查监护病区病人、门窗等情况，发现问题及时补救及报告。</w:t>
            </w:r>
          </w:p>
        </w:tc>
        <w:tc>
          <w:tcPr>
            <w:tcW w:w="0" w:type="auto"/>
            <w:shd w:val="clear" w:color="auto" w:fill="FFFFFF"/>
            <w:vAlign w:val="center"/>
          </w:tcPr>
          <w:p w14:paraId="549CF86B">
            <w:pPr>
              <w:jc w:val="center"/>
              <w:rPr>
                <w:rFonts w:hint="eastAsia" w:ascii="宋体" w:hAnsi="宋体" w:cs="宋体"/>
                <w:bCs/>
                <w:color w:val="auto"/>
                <w:szCs w:val="21"/>
                <w:highlight w:val="none"/>
              </w:rPr>
            </w:pPr>
            <w:r>
              <w:rPr>
                <w:rFonts w:hint="eastAsia" w:ascii="宋体" w:hAnsi="宋体" w:cs="宋体"/>
                <w:bCs/>
                <w:color w:val="auto"/>
                <w:szCs w:val="21"/>
                <w:highlight w:val="none"/>
              </w:rPr>
              <w:t>2</w:t>
            </w:r>
          </w:p>
        </w:tc>
      </w:tr>
      <w:tr w14:paraId="6754C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jc w:val="center"/>
        </w:trPr>
        <w:tc>
          <w:tcPr>
            <w:tcW w:w="0" w:type="auto"/>
            <w:vMerge w:val="continue"/>
            <w:vAlign w:val="center"/>
          </w:tcPr>
          <w:p w14:paraId="18244E51">
            <w:pPr>
              <w:jc w:val="center"/>
              <w:rPr>
                <w:rFonts w:hint="eastAsia" w:ascii="宋体" w:hAnsi="宋体" w:cs="宋体"/>
                <w:bCs/>
                <w:color w:val="auto"/>
                <w:szCs w:val="21"/>
                <w:highlight w:val="none"/>
              </w:rPr>
            </w:pPr>
          </w:p>
        </w:tc>
        <w:tc>
          <w:tcPr>
            <w:tcW w:w="0" w:type="auto"/>
            <w:shd w:val="clear" w:color="auto" w:fill="FFFFFF"/>
            <w:vAlign w:val="center"/>
          </w:tcPr>
          <w:p w14:paraId="43DD4999">
            <w:pPr>
              <w:jc w:val="left"/>
              <w:rPr>
                <w:rFonts w:hint="eastAsia" w:ascii="宋体" w:hAnsi="宋体" w:cs="宋体"/>
                <w:bCs/>
                <w:color w:val="auto"/>
                <w:szCs w:val="21"/>
                <w:highlight w:val="none"/>
              </w:rPr>
            </w:pPr>
            <w:r>
              <w:rPr>
                <w:rFonts w:hint="eastAsia" w:ascii="宋体" w:hAnsi="宋体" w:cs="宋体"/>
                <w:bCs/>
                <w:color w:val="auto"/>
                <w:szCs w:val="21"/>
                <w:highlight w:val="none"/>
              </w:rPr>
              <w:t>8.知晓病房安全管理制度与巡视制度，掌握安全管理的重点及巡视的内容。不允许将玻璃杯、塑料凳、拖把等物品放到活动室、走廊等病人可以拿到的地方。</w:t>
            </w:r>
          </w:p>
        </w:tc>
        <w:tc>
          <w:tcPr>
            <w:tcW w:w="0" w:type="auto"/>
            <w:shd w:val="clear" w:color="auto" w:fill="FFFFFF"/>
            <w:vAlign w:val="center"/>
          </w:tcPr>
          <w:p w14:paraId="1B5D5A10">
            <w:pPr>
              <w:jc w:val="center"/>
              <w:rPr>
                <w:rFonts w:hint="eastAsia" w:ascii="宋体" w:hAnsi="宋体" w:cs="宋体"/>
                <w:bCs/>
                <w:color w:val="auto"/>
                <w:szCs w:val="21"/>
                <w:highlight w:val="none"/>
              </w:rPr>
            </w:pPr>
            <w:r>
              <w:rPr>
                <w:rFonts w:hint="eastAsia" w:ascii="宋体" w:hAnsi="宋体" w:cs="宋体"/>
                <w:bCs/>
                <w:color w:val="auto"/>
                <w:szCs w:val="21"/>
                <w:highlight w:val="none"/>
              </w:rPr>
              <w:t>2</w:t>
            </w:r>
          </w:p>
        </w:tc>
      </w:tr>
      <w:tr w14:paraId="0CF69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jc w:val="center"/>
        </w:trPr>
        <w:tc>
          <w:tcPr>
            <w:tcW w:w="0" w:type="auto"/>
            <w:vMerge w:val="continue"/>
            <w:vAlign w:val="center"/>
          </w:tcPr>
          <w:p w14:paraId="3A2491C6">
            <w:pPr>
              <w:jc w:val="center"/>
              <w:rPr>
                <w:rFonts w:hint="eastAsia" w:ascii="宋体" w:hAnsi="宋体" w:cs="宋体"/>
                <w:bCs/>
                <w:color w:val="auto"/>
                <w:szCs w:val="21"/>
                <w:highlight w:val="none"/>
              </w:rPr>
            </w:pPr>
          </w:p>
        </w:tc>
        <w:tc>
          <w:tcPr>
            <w:tcW w:w="0" w:type="auto"/>
            <w:shd w:val="clear" w:color="auto" w:fill="FFFFFF"/>
            <w:vAlign w:val="center"/>
          </w:tcPr>
          <w:p w14:paraId="27F91E9D">
            <w:pPr>
              <w:jc w:val="left"/>
              <w:rPr>
                <w:rFonts w:hint="eastAsia" w:ascii="宋体" w:hAnsi="宋体" w:cs="宋体"/>
                <w:bCs/>
                <w:color w:val="auto"/>
                <w:szCs w:val="21"/>
                <w:highlight w:val="none"/>
              </w:rPr>
            </w:pPr>
            <w:r>
              <w:rPr>
                <w:rFonts w:hint="eastAsia" w:ascii="宋体" w:hAnsi="宋体" w:cs="宋体"/>
                <w:bCs/>
                <w:color w:val="auto"/>
                <w:szCs w:val="21"/>
                <w:highlight w:val="none"/>
              </w:rPr>
              <w:t>9.护工严格保管门禁卡及钥匙，如有丢失，及时报告病区护士长及相应的负责人。随手关门，不得私自将活动室病人放入病房内。</w:t>
            </w:r>
          </w:p>
        </w:tc>
        <w:tc>
          <w:tcPr>
            <w:tcW w:w="0" w:type="auto"/>
            <w:shd w:val="clear" w:color="auto" w:fill="FFFFFF"/>
            <w:vAlign w:val="center"/>
          </w:tcPr>
          <w:p w14:paraId="1B184408">
            <w:pPr>
              <w:jc w:val="center"/>
              <w:rPr>
                <w:rFonts w:hint="eastAsia" w:ascii="宋体" w:hAnsi="宋体" w:cs="宋体"/>
                <w:bCs/>
                <w:color w:val="auto"/>
                <w:szCs w:val="21"/>
                <w:highlight w:val="none"/>
              </w:rPr>
            </w:pPr>
            <w:r>
              <w:rPr>
                <w:rFonts w:hint="eastAsia" w:ascii="宋体" w:hAnsi="宋体" w:cs="宋体"/>
                <w:bCs/>
                <w:color w:val="auto"/>
                <w:szCs w:val="21"/>
                <w:highlight w:val="none"/>
              </w:rPr>
              <w:t>2</w:t>
            </w:r>
          </w:p>
        </w:tc>
      </w:tr>
      <w:tr w14:paraId="13F9E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jc w:val="center"/>
        </w:trPr>
        <w:tc>
          <w:tcPr>
            <w:tcW w:w="0" w:type="auto"/>
            <w:vMerge w:val="continue"/>
            <w:vAlign w:val="center"/>
          </w:tcPr>
          <w:p w14:paraId="6AE3DAE7">
            <w:pPr>
              <w:jc w:val="center"/>
              <w:rPr>
                <w:rFonts w:hint="eastAsia" w:ascii="宋体" w:hAnsi="宋体" w:cs="宋体"/>
                <w:bCs/>
                <w:color w:val="auto"/>
                <w:szCs w:val="21"/>
                <w:highlight w:val="none"/>
              </w:rPr>
            </w:pPr>
          </w:p>
        </w:tc>
        <w:tc>
          <w:tcPr>
            <w:tcW w:w="0" w:type="auto"/>
            <w:shd w:val="clear" w:color="auto" w:fill="FFFFFF"/>
            <w:vAlign w:val="center"/>
          </w:tcPr>
          <w:p w14:paraId="4251B645">
            <w:pPr>
              <w:jc w:val="left"/>
              <w:rPr>
                <w:rFonts w:hint="eastAsia" w:ascii="宋体" w:hAnsi="宋体" w:cs="宋体"/>
                <w:bCs/>
                <w:color w:val="auto"/>
                <w:szCs w:val="21"/>
                <w:highlight w:val="none"/>
              </w:rPr>
            </w:pPr>
            <w:r>
              <w:rPr>
                <w:rFonts w:hint="eastAsia" w:ascii="宋体" w:hAnsi="宋体" w:cs="宋体"/>
                <w:bCs/>
                <w:color w:val="auto"/>
                <w:szCs w:val="21"/>
                <w:highlight w:val="none"/>
              </w:rPr>
              <w:t>10.主要照料病人的生活起居，为病人理发、剃须、修指甲、洗澡等，避免病人烫伤、跌倒，发现问题及时补救和报告，服从护士长及护士的工作安排。</w:t>
            </w:r>
          </w:p>
        </w:tc>
        <w:tc>
          <w:tcPr>
            <w:tcW w:w="0" w:type="auto"/>
            <w:shd w:val="clear" w:color="auto" w:fill="FFFFFF"/>
            <w:vAlign w:val="center"/>
          </w:tcPr>
          <w:p w14:paraId="53CA53B3">
            <w:pPr>
              <w:jc w:val="center"/>
              <w:rPr>
                <w:rFonts w:hint="eastAsia" w:ascii="宋体" w:hAnsi="宋体" w:cs="宋体"/>
                <w:bCs/>
                <w:color w:val="auto"/>
                <w:szCs w:val="21"/>
                <w:highlight w:val="none"/>
              </w:rPr>
            </w:pPr>
            <w:r>
              <w:rPr>
                <w:rFonts w:hint="eastAsia" w:ascii="宋体" w:hAnsi="宋体" w:cs="宋体"/>
                <w:bCs/>
                <w:color w:val="auto"/>
                <w:szCs w:val="21"/>
                <w:highlight w:val="none"/>
              </w:rPr>
              <w:t>1</w:t>
            </w:r>
          </w:p>
        </w:tc>
      </w:tr>
      <w:tr w14:paraId="24DA1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jc w:val="center"/>
        </w:trPr>
        <w:tc>
          <w:tcPr>
            <w:tcW w:w="0" w:type="auto"/>
            <w:vMerge w:val="continue"/>
            <w:vAlign w:val="center"/>
          </w:tcPr>
          <w:p w14:paraId="74A04208">
            <w:pPr>
              <w:jc w:val="center"/>
              <w:rPr>
                <w:rFonts w:hint="eastAsia" w:ascii="宋体" w:hAnsi="宋体" w:cs="宋体"/>
                <w:bCs/>
                <w:color w:val="auto"/>
                <w:szCs w:val="21"/>
                <w:highlight w:val="none"/>
              </w:rPr>
            </w:pPr>
          </w:p>
        </w:tc>
        <w:tc>
          <w:tcPr>
            <w:tcW w:w="0" w:type="auto"/>
            <w:shd w:val="clear" w:color="auto" w:fill="FFFFFF"/>
            <w:vAlign w:val="center"/>
          </w:tcPr>
          <w:p w14:paraId="4312131C">
            <w:pPr>
              <w:jc w:val="left"/>
              <w:rPr>
                <w:rFonts w:hint="eastAsia" w:ascii="宋体" w:hAnsi="宋体" w:cs="宋体"/>
                <w:bCs/>
                <w:color w:val="auto"/>
                <w:szCs w:val="21"/>
                <w:highlight w:val="none"/>
              </w:rPr>
            </w:pPr>
            <w:r>
              <w:rPr>
                <w:rFonts w:hint="eastAsia" w:ascii="宋体" w:hAnsi="宋体" w:cs="宋体"/>
                <w:bCs/>
                <w:color w:val="auto"/>
                <w:szCs w:val="21"/>
                <w:highlight w:val="none"/>
              </w:rPr>
              <w:t>11.负责病人用餐情况，避免病人抢食、争吵、或发生窒息等情况及时制止，并报告医护人员。不允许私自给病人发放食物。</w:t>
            </w:r>
          </w:p>
        </w:tc>
        <w:tc>
          <w:tcPr>
            <w:tcW w:w="0" w:type="auto"/>
            <w:shd w:val="clear" w:color="auto" w:fill="FFFFFF"/>
            <w:vAlign w:val="center"/>
          </w:tcPr>
          <w:p w14:paraId="2773E9B9">
            <w:pPr>
              <w:jc w:val="center"/>
              <w:rPr>
                <w:rFonts w:hint="eastAsia" w:ascii="宋体" w:hAnsi="宋体" w:cs="宋体"/>
                <w:bCs/>
                <w:color w:val="auto"/>
                <w:szCs w:val="21"/>
                <w:highlight w:val="none"/>
              </w:rPr>
            </w:pPr>
            <w:r>
              <w:rPr>
                <w:rFonts w:hint="eastAsia" w:ascii="宋体" w:hAnsi="宋体" w:cs="宋体"/>
                <w:bCs/>
                <w:color w:val="auto"/>
                <w:szCs w:val="21"/>
                <w:highlight w:val="none"/>
              </w:rPr>
              <w:t>2</w:t>
            </w:r>
          </w:p>
        </w:tc>
      </w:tr>
      <w:tr w14:paraId="67ABB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jc w:val="center"/>
        </w:trPr>
        <w:tc>
          <w:tcPr>
            <w:tcW w:w="0" w:type="auto"/>
            <w:vMerge w:val="continue"/>
            <w:vAlign w:val="center"/>
          </w:tcPr>
          <w:p w14:paraId="5E6946C9">
            <w:pPr>
              <w:jc w:val="center"/>
              <w:rPr>
                <w:rFonts w:hint="eastAsia" w:ascii="宋体" w:hAnsi="宋体" w:cs="宋体"/>
                <w:bCs/>
                <w:color w:val="auto"/>
                <w:szCs w:val="21"/>
                <w:highlight w:val="none"/>
              </w:rPr>
            </w:pPr>
          </w:p>
        </w:tc>
        <w:tc>
          <w:tcPr>
            <w:tcW w:w="0" w:type="auto"/>
            <w:shd w:val="clear" w:color="auto" w:fill="FFFFFF"/>
            <w:vAlign w:val="center"/>
          </w:tcPr>
          <w:p w14:paraId="07CD7985">
            <w:pPr>
              <w:jc w:val="left"/>
              <w:rPr>
                <w:rFonts w:hint="eastAsia" w:ascii="宋体" w:hAnsi="宋体" w:cs="宋体"/>
                <w:bCs/>
                <w:color w:val="auto"/>
                <w:szCs w:val="21"/>
                <w:highlight w:val="none"/>
              </w:rPr>
            </w:pPr>
            <w:r>
              <w:rPr>
                <w:rFonts w:hint="eastAsia" w:ascii="宋体" w:hAnsi="宋体" w:cs="宋体"/>
                <w:bCs/>
                <w:color w:val="auto"/>
                <w:szCs w:val="21"/>
                <w:highlight w:val="none"/>
              </w:rPr>
              <w:t>12.病人在开放时或护送做专项检查，须清点人数，监护病人的动态，避免病人外逃或意外情况，一旦发现负责追寻或报告医护人员。</w:t>
            </w:r>
          </w:p>
        </w:tc>
        <w:tc>
          <w:tcPr>
            <w:tcW w:w="0" w:type="auto"/>
            <w:shd w:val="clear" w:color="auto" w:fill="FFFFFF"/>
            <w:vAlign w:val="center"/>
          </w:tcPr>
          <w:p w14:paraId="70BB9764">
            <w:pPr>
              <w:jc w:val="center"/>
              <w:rPr>
                <w:rFonts w:hint="eastAsia" w:ascii="宋体" w:hAnsi="宋体" w:cs="宋体"/>
                <w:bCs/>
                <w:color w:val="auto"/>
                <w:szCs w:val="21"/>
                <w:highlight w:val="none"/>
              </w:rPr>
            </w:pPr>
            <w:r>
              <w:rPr>
                <w:rFonts w:hint="eastAsia" w:ascii="宋体" w:hAnsi="宋体" w:cs="宋体"/>
                <w:bCs/>
                <w:color w:val="auto"/>
                <w:szCs w:val="21"/>
                <w:highlight w:val="none"/>
              </w:rPr>
              <w:t>2</w:t>
            </w:r>
          </w:p>
        </w:tc>
      </w:tr>
      <w:tr w14:paraId="50885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jc w:val="center"/>
        </w:trPr>
        <w:tc>
          <w:tcPr>
            <w:tcW w:w="0" w:type="auto"/>
            <w:vMerge w:val="continue"/>
            <w:vAlign w:val="center"/>
          </w:tcPr>
          <w:p w14:paraId="421A2089">
            <w:pPr>
              <w:jc w:val="center"/>
              <w:rPr>
                <w:rFonts w:hint="eastAsia" w:ascii="宋体" w:hAnsi="宋体" w:cs="宋体"/>
                <w:bCs/>
                <w:color w:val="auto"/>
                <w:szCs w:val="21"/>
                <w:highlight w:val="none"/>
              </w:rPr>
            </w:pPr>
          </w:p>
        </w:tc>
        <w:tc>
          <w:tcPr>
            <w:tcW w:w="0" w:type="auto"/>
            <w:shd w:val="clear" w:color="auto" w:fill="FFFFFF"/>
            <w:vAlign w:val="center"/>
          </w:tcPr>
          <w:p w14:paraId="7F5F06ED">
            <w:pPr>
              <w:jc w:val="left"/>
              <w:rPr>
                <w:rFonts w:hint="eastAsia" w:ascii="宋体" w:hAnsi="宋体" w:cs="宋体"/>
                <w:bCs/>
                <w:color w:val="auto"/>
                <w:szCs w:val="21"/>
                <w:highlight w:val="none"/>
              </w:rPr>
            </w:pPr>
            <w:r>
              <w:rPr>
                <w:rFonts w:hint="eastAsia" w:ascii="宋体" w:hAnsi="宋体" w:cs="宋体"/>
                <w:bCs/>
                <w:color w:val="auto"/>
                <w:szCs w:val="21"/>
                <w:highlight w:val="none"/>
              </w:rPr>
              <w:t>13.及时报告护理（安全）不良事件，如跌倒、打架等，不得瞒报、漏报。</w:t>
            </w:r>
          </w:p>
        </w:tc>
        <w:tc>
          <w:tcPr>
            <w:tcW w:w="0" w:type="auto"/>
            <w:shd w:val="clear" w:color="auto" w:fill="FFFFFF"/>
            <w:vAlign w:val="center"/>
          </w:tcPr>
          <w:p w14:paraId="7B99A629">
            <w:pPr>
              <w:jc w:val="center"/>
              <w:rPr>
                <w:rFonts w:hint="eastAsia" w:ascii="宋体" w:hAnsi="宋体" w:cs="宋体"/>
                <w:bCs/>
                <w:color w:val="auto"/>
                <w:szCs w:val="21"/>
                <w:highlight w:val="none"/>
              </w:rPr>
            </w:pPr>
            <w:r>
              <w:rPr>
                <w:rFonts w:hint="eastAsia" w:ascii="宋体" w:hAnsi="宋体" w:cs="宋体"/>
                <w:bCs/>
                <w:color w:val="auto"/>
                <w:szCs w:val="21"/>
                <w:highlight w:val="none"/>
              </w:rPr>
              <w:t>1</w:t>
            </w:r>
          </w:p>
        </w:tc>
      </w:tr>
      <w:tr w14:paraId="20236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jc w:val="center"/>
        </w:trPr>
        <w:tc>
          <w:tcPr>
            <w:tcW w:w="0" w:type="auto"/>
            <w:vMerge w:val="continue"/>
            <w:vAlign w:val="center"/>
          </w:tcPr>
          <w:p w14:paraId="1A0B41FE">
            <w:pPr>
              <w:jc w:val="center"/>
              <w:rPr>
                <w:rFonts w:hint="eastAsia" w:ascii="宋体" w:hAnsi="宋体" w:cs="宋体"/>
                <w:bCs/>
                <w:color w:val="auto"/>
                <w:szCs w:val="21"/>
                <w:highlight w:val="none"/>
              </w:rPr>
            </w:pPr>
          </w:p>
        </w:tc>
        <w:tc>
          <w:tcPr>
            <w:tcW w:w="0" w:type="auto"/>
            <w:shd w:val="clear" w:color="auto" w:fill="FFFFFF"/>
            <w:vAlign w:val="center"/>
          </w:tcPr>
          <w:p w14:paraId="3CEF6805">
            <w:pPr>
              <w:jc w:val="left"/>
              <w:rPr>
                <w:rFonts w:hint="eastAsia" w:ascii="宋体" w:hAnsi="宋体" w:cs="宋体"/>
                <w:bCs/>
                <w:color w:val="auto"/>
                <w:szCs w:val="21"/>
                <w:highlight w:val="none"/>
              </w:rPr>
            </w:pPr>
            <w:r>
              <w:rPr>
                <w:rFonts w:hint="eastAsia" w:ascii="宋体" w:hAnsi="宋体" w:cs="宋体"/>
                <w:bCs/>
                <w:color w:val="auto"/>
                <w:szCs w:val="21"/>
                <w:highlight w:val="none"/>
              </w:rPr>
              <w:t>14.发生护理（安全）不良事件，造成病人伤害或医院公共物品损坏的，护工存在失职情况的</w:t>
            </w:r>
          </w:p>
        </w:tc>
        <w:tc>
          <w:tcPr>
            <w:tcW w:w="0" w:type="auto"/>
            <w:shd w:val="clear" w:color="auto" w:fill="FFFFFF"/>
            <w:vAlign w:val="center"/>
          </w:tcPr>
          <w:p w14:paraId="47764AE1">
            <w:pPr>
              <w:jc w:val="center"/>
              <w:rPr>
                <w:rFonts w:hint="eastAsia" w:ascii="宋体" w:hAnsi="宋体" w:cs="宋体"/>
                <w:bCs/>
                <w:color w:val="auto"/>
                <w:szCs w:val="21"/>
                <w:highlight w:val="none"/>
              </w:rPr>
            </w:pPr>
            <w:r>
              <w:rPr>
                <w:rFonts w:hint="eastAsia" w:ascii="宋体" w:hAnsi="宋体" w:cs="宋体"/>
                <w:bCs/>
                <w:color w:val="auto"/>
                <w:szCs w:val="21"/>
                <w:highlight w:val="none"/>
              </w:rPr>
              <w:t>2</w:t>
            </w:r>
          </w:p>
        </w:tc>
      </w:tr>
      <w:tr w14:paraId="046C4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jc w:val="center"/>
        </w:trPr>
        <w:tc>
          <w:tcPr>
            <w:tcW w:w="0" w:type="auto"/>
            <w:vMerge w:val="continue"/>
            <w:vAlign w:val="center"/>
          </w:tcPr>
          <w:p w14:paraId="089A8306">
            <w:pPr>
              <w:jc w:val="center"/>
              <w:rPr>
                <w:rFonts w:hint="eastAsia" w:ascii="宋体" w:hAnsi="宋体" w:cs="宋体"/>
                <w:bCs/>
                <w:color w:val="auto"/>
                <w:szCs w:val="21"/>
                <w:highlight w:val="none"/>
              </w:rPr>
            </w:pPr>
          </w:p>
        </w:tc>
        <w:tc>
          <w:tcPr>
            <w:tcW w:w="0" w:type="auto"/>
            <w:shd w:val="clear" w:color="auto" w:fill="FFFFFF"/>
            <w:vAlign w:val="center"/>
          </w:tcPr>
          <w:p w14:paraId="2AA1263E">
            <w:pPr>
              <w:jc w:val="left"/>
              <w:rPr>
                <w:rFonts w:hint="eastAsia" w:ascii="宋体" w:hAnsi="宋体" w:cs="宋体"/>
                <w:bCs/>
                <w:color w:val="auto"/>
                <w:szCs w:val="21"/>
                <w:highlight w:val="none"/>
              </w:rPr>
            </w:pPr>
            <w:r>
              <w:rPr>
                <w:rFonts w:hint="eastAsia" w:ascii="宋体" w:hAnsi="宋体" w:cs="宋体"/>
                <w:bCs/>
                <w:color w:val="auto"/>
                <w:szCs w:val="21"/>
                <w:highlight w:val="none"/>
              </w:rPr>
              <w:t>15.病人发生病情突变时，护工应积极配合医务人员做好抢救工作</w:t>
            </w:r>
          </w:p>
        </w:tc>
        <w:tc>
          <w:tcPr>
            <w:tcW w:w="0" w:type="auto"/>
            <w:shd w:val="clear" w:color="auto" w:fill="FFFFFF"/>
            <w:vAlign w:val="center"/>
          </w:tcPr>
          <w:p w14:paraId="0344E0AF">
            <w:pPr>
              <w:jc w:val="center"/>
              <w:rPr>
                <w:rFonts w:hint="eastAsia" w:ascii="宋体" w:hAnsi="宋体" w:cs="宋体"/>
                <w:bCs/>
                <w:color w:val="auto"/>
                <w:szCs w:val="21"/>
                <w:highlight w:val="none"/>
              </w:rPr>
            </w:pPr>
            <w:r>
              <w:rPr>
                <w:rFonts w:hint="eastAsia" w:ascii="宋体" w:hAnsi="宋体" w:cs="宋体"/>
                <w:bCs/>
                <w:color w:val="auto"/>
                <w:szCs w:val="21"/>
                <w:highlight w:val="none"/>
              </w:rPr>
              <w:t>1</w:t>
            </w:r>
          </w:p>
        </w:tc>
      </w:tr>
      <w:tr w14:paraId="50C40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jc w:val="center"/>
        </w:trPr>
        <w:tc>
          <w:tcPr>
            <w:tcW w:w="0" w:type="auto"/>
            <w:vMerge w:val="restart"/>
            <w:vAlign w:val="center"/>
          </w:tcPr>
          <w:p w14:paraId="495EE2B3">
            <w:pPr>
              <w:jc w:val="center"/>
              <w:rPr>
                <w:rFonts w:hint="eastAsia" w:ascii="宋体" w:hAnsi="宋体" w:cs="宋体"/>
                <w:bCs/>
                <w:color w:val="auto"/>
                <w:szCs w:val="21"/>
                <w:highlight w:val="none"/>
              </w:rPr>
            </w:pPr>
            <w:r>
              <w:rPr>
                <w:rFonts w:hint="eastAsia" w:ascii="宋体" w:hAnsi="宋体" w:cs="宋体"/>
                <w:bCs/>
                <w:color w:val="auto"/>
                <w:szCs w:val="21"/>
                <w:highlight w:val="none"/>
              </w:rPr>
              <w:t>C</w:t>
            </w:r>
          </w:p>
        </w:tc>
        <w:tc>
          <w:tcPr>
            <w:tcW w:w="0" w:type="auto"/>
            <w:shd w:val="clear" w:color="auto" w:fill="C0C0C0"/>
            <w:vAlign w:val="center"/>
          </w:tcPr>
          <w:p w14:paraId="582BC68E">
            <w:pPr>
              <w:jc w:val="center"/>
              <w:rPr>
                <w:rFonts w:hint="eastAsia" w:ascii="宋体" w:hAnsi="宋体" w:cs="宋体"/>
                <w:bCs/>
                <w:color w:val="auto"/>
                <w:szCs w:val="21"/>
                <w:highlight w:val="none"/>
              </w:rPr>
            </w:pPr>
            <w:r>
              <w:rPr>
                <w:rFonts w:hint="eastAsia" w:ascii="宋体" w:hAnsi="宋体" w:cs="宋体"/>
                <w:bCs/>
                <w:color w:val="auto"/>
                <w:szCs w:val="21"/>
                <w:highlight w:val="none"/>
              </w:rPr>
              <w:t>保管员</w:t>
            </w:r>
          </w:p>
        </w:tc>
        <w:tc>
          <w:tcPr>
            <w:tcW w:w="0" w:type="auto"/>
            <w:shd w:val="clear" w:color="auto" w:fill="C0C0C0"/>
            <w:vAlign w:val="center"/>
          </w:tcPr>
          <w:p w14:paraId="226D28D4">
            <w:pPr>
              <w:jc w:val="center"/>
              <w:rPr>
                <w:rFonts w:hint="eastAsia" w:ascii="宋体" w:hAnsi="宋体" w:cs="宋体"/>
                <w:bCs/>
                <w:color w:val="auto"/>
                <w:szCs w:val="21"/>
                <w:highlight w:val="none"/>
              </w:rPr>
            </w:pPr>
            <w:r>
              <w:rPr>
                <w:rFonts w:hint="eastAsia" w:ascii="宋体" w:hAnsi="宋体" w:cs="宋体"/>
                <w:bCs/>
                <w:color w:val="auto"/>
                <w:szCs w:val="21"/>
                <w:highlight w:val="none"/>
              </w:rPr>
              <w:t>14</w:t>
            </w:r>
          </w:p>
        </w:tc>
      </w:tr>
      <w:tr w14:paraId="5C27E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jc w:val="center"/>
        </w:trPr>
        <w:tc>
          <w:tcPr>
            <w:tcW w:w="0" w:type="auto"/>
            <w:vMerge w:val="continue"/>
            <w:vAlign w:val="center"/>
          </w:tcPr>
          <w:p w14:paraId="0C6A5B65">
            <w:pPr>
              <w:jc w:val="center"/>
              <w:rPr>
                <w:rFonts w:hint="eastAsia" w:ascii="宋体" w:hAnsi="宋体" w:cs="宋体"/>
                <w:bCs/>
                <w:color w:val="auto"/>
                <w:szCs w:val="21"/>
                <w:highlight w:val="none"/>
              </w:rPr>
            </w:pPr>
          </w:p>
        </w:tc>
        <w:tc>
          <w:tcPr>
            <w:tcW w:w="0" w:type="auto"/>
            <w:vAlign w:val="center"/>
          </w:tcPr>
          <w:p w14:paraId="6740E577">
            <w:pPr>
              <w:rPr>
                <w:rFonts w:hint="eastAsia" w:ascii="宋体" w:hAnsi="宋体" w:cs="宋体"/>
                <w:bCs/>
                <w:color w:val="auto"/>
                <w:szCs w:val="21"/>
                <w:highlight w:val="none"/>
              </w:rPr>
            </w:pPr>
            <w:r>
              <w:rPr>
                <w:rFonts w:hint="eastAsia" w:ascii="宋体" w:hAnsi="宋体" w:cs="宋体"/>
                <w:bCs/>
                <w:color w:val="auto"/>
                <w:szCs w:val="21"/>
                <w:highlight w:val="none"/>
              </w:rPr>
              <w:t>1、保管员负责保管好病人住院期间的一切物品，防止损坏或遗失。</w:t>
            </w:r>
          </w:p>
        </w:tc>
        <w:tc>
          <w:tcPr>
            <w:tcW w:w="0" w:type="auto"/>
            <w:vAlign w:val="center"/>
          </w:tcPr>
          <w:p w14:paraId="3FAFF3C7">
            <w:pPr>
              <w:jc w:val="center"/>
              <w:rPr>
                <w:rFonts w:hint="eastAsia" w:ascii="宋体" w:hAnsi="宋体" w:cs="宋体"/>
                <w:bCs/>
                <w:color w:val="auto"/>
                <w:szCs w:val="21"/>
                <w:highlight w:val="none"/>
              </w:rPr>
            </w:pPr>
            <w:r>
              <w:rPr>
                <w:rFonts w:hint="eastAsia" w:ascii="宋体" w:hAnsi="宋体" w:cs="宋体"/>
                <w:bCs/>
                <w:color w:val="auto"/>
                <w:szCs w:val="21"/>
                <w:highlight w:val="none"/>
              </w:rPr>
              <w:t>2</w:t>
            </w:r>
          </w:p>
        </w:tc>
      </w:tr>
      <w:tr w14:paraId="3B066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 w:hRule="atLeast"/>
          <w:jc w:val="center"/>
        </w:trPr>
        <w:tc>
          <w:tcPr>
            <w:tcW w:w="0" w:type="auto"/>
            <w:vMerge w:val="continue"/>
            <w:vAlign w:val="center"/>
          </w:tcPr>
          <w:p w14:paraId="011D8E41">
            <w:pPr>
              <w:jc w:val="center"/>
              <w:rPr>
                <w:rFonts w:hint="eastAsia" w:ascii="宋体" w:hAnsi="宋体" w:cs="宋体"/>
                <w:bCs/>
                <w:color w:val="auto"/>
                <w:szCs w:val="21"/>
                <w:highlight w:val="none"/>
              </w:rPr>
            </w:pPr>
          </w:p>
        </w:tc>
        <w:tc>
          <w:tcPr>
            <w:tcW w:w="0" w:type="auto"/>
            <w:vAlign w:val="center"/>
          </w:tcPr>
          <w:p w14:paraId="65E71147">
            <w:pPr>
              <w:rPr>
                <w:rFonts w:hint="eastAsia" w:ascii="宋体" w:hAnsi="宋体" w:cs="宋体"/>
                <w:bCs/>
                <w:color w:val="auto"/>
                <w:szCs w:val="21"/>
                <w:highlight w:val="none"/>
              </w:rPr>
            </w:pPr>
            <w:r>
              <w:rPr>
                <w:rFonts w:hint="eastAsia" w:ascii="宋体" w:hAnsi="宋体" w:cs="宋体"/>
                <w:bCs/>
                <w:color w:val="auto"/>
                <w:szCs w:val="21"/>
                <w:highlight w:val="none"/>
              </w:rPr>
              <w:t>2、病人入院时，保管员应逐项检查、登记生活用品及衣物，并做好标记。建立“病人存物登记本”，收存与取物双方签名，以备查证。严防违禁物品带入病房。</w:t>
            </w:r>
          </w:p>
        </w:tc>
        <w:tc>
          <w:tcPr>
            <w:tcW w:w="0" w:type="auto"/>
            <w:vAlign w:val="center"/>
          </w:tcPr>
          <w:p w14:paraId="6C8EBD70">
            <w:pPr>
              <w:jc w:val="center"/>
              <w:rPr>
                <w:rFonts w:hint="eastAsia" w:ascii="宋体" w:hAnsi="宋体" w:cs="宋体"/>
                <w:bCs/>
                <w:color w:val="auto"/>
                <w:szCs w:val="21"/>
                <w:highlight w:val="none"/>
              </w:rPr>
            </w:pPr>
            <w:r>
              <w:rPr>
                <w:rFonts w:hint="eastAsia" w:ascii="宋体" w:hAnsi="宋体" w:cs="宋体"/>
                <w:bCs/>
                <w:color w:val="auto"/>
                <w:szCs w:val="21"/>
                <w:highlight w:val="none"/>
              </w:rPr>
              <w:t>2</w:t>
            </w:r>
          </w:p>
        </w:tc>
      </w:tr>
      <w:tr w14:paraId="37DD9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 w:hRule="atLeast"/>
          <w:jc w:val="center"/>
        </w:trPr>
        <w:tc>
          <w:tcPr>
            <w:tcW w:w="0" w:type="auto"/>
            <w:vMerge w:val="continue"/>
            <w:vAlign w:val="center"/>
          </w:tcPr>
          <w:p w14:paraId="7F71BEFC">
            <w:pPr>
              <w:jc w:val="center"/>
              <w:rPr>
                <w:rFonts w:hint="eastAsia" w:ascii="宋体" w:hAnsi="宋体" w:cs="宋体"/>
                <w:bCs/>
                <w:color w:val="auto"/>
                <w:szCs w:val="21"/>
                <w:highlight w:val="none"/>
              </w:rPr>
            </w:pPr>
          </w:p>
        </w:tc>
        <w:tc>
          <w:tcPr>
            <w:tcW w:w="0" w:type="auto"/>
            <w:vAlign w:val="center"/>
          </w:tcPr>
          <w:p w14:paraId="49B8CCAC">
            <w:pPr>
              <w:rPr>
                <w:rFonts w:hint="eastAsia" w:ascii="宋体" w:hAnsi="宋体" w:cs="宋体"/>
                <w:bCs/>
                <w:color w:val="auto"/>
                <w:szCs w:val="21"/>
                <w:highlight w:val="none"/>
              </w:rPr>
            </w:pPr>
            <w:r>
              <w:rPr>
                <w:rFonts w:hint="eastAsia" w:ascii="宋体" w:hAnsi="宋体" w:cs="宋体"/>
                <w:bCs/>
                <w:color w:val="auto"/>
                <w:szCs w:val="21"/>
                <w:highlight w:val="none"/>
              </w:rPr>
              <w:t>3、贵重物品由护送人员清点签字带回，特殊情况由护士长签名留存。</w:t>
            </w:r>
          </w:p>
        </w:tc>
        <w:tc>
          <w:tcPr>
            <w:tcW w:w="0" w:type="auto"/>
            <w:vAlign w:val="center"/>
          </w:tcPr>
          <w:p w14:paraId="5190B787">
            <w:pPr>
              <w:jc w:val="center"/>
              <w:rPr>
                <w:rFonts w:hint="eastAsia" w:ascii="宋体" w:hAnsi="宋体" w:cs="宋体"/>
                <w:bCs/>
                <w:color w:val="auto"/>
                <w:szCs w:val="21"/>
                <w:highlight w:val="none"/>
              </w:rPr>
            </w:pPr>
            <w:r>
              <w:rPr>
                <w:rFonts w:hint="eastAsia" w:ascii="宋体" w:hAnsi="宋体" w:cs="宋体"/>
                <w:bCs/>
                <w:color w:val="auto"/>
                <w:szCs w:val="21"/>
                <w:highlight w:val="none"/>
              </w:rPr>
              <w:t>2</w:t>
            </w:r>
          </w:p>
        </w:tc>
      </w:tr>
      <w:tr w14:paraId="24808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 w:hRule="atLeast"/>
          <w:jc w:val="center"/>
        </w:trPr>
        <w:tc>
          <w:tcPr>
            <w:tcW w:w="0" w:type="auto"/>
            <w:vMerge w:val="continue"/>
            <w:vAlign w:val="center"/>
          </w:tcPr>
          <w:p w14:paraId="4AD4380A">
            <w:pPr>
              <w:jc w:val="center"/>
              <w:rPr>
                <w:rFonts w:hint="eastAsia" w:ascii="宋体" w:hAnsi="宋体" w:cs="宋体"/>
                <w:bCs/>
                <w:color w:val="auto"/>
                <w:szCs w:val="21"/>
                <w:highlight w:val="none"/>
              </w:rPr>
            </w:pPr>
          </w:p>
        </w:tc>
        <w:tc>
          <w:tcPr>
            <w:tcW w:w="0" w:type="auto"/>
            <w:vAlign w:val="center"/>
          </w:tcPr>
          <w:p w14:paraId="4A76B43E">
            <w:pPr>
              <w:spacing w:line="360" w:lineRule="auto"/>
              <w:ind w:hanging="10"/>
              <w:rPr>
                <w:rFonts w:hint="eastAsia" w:ascii="宋体" w:hAnsi="宋体" w:cs="宋体"/>
                <w:bCs/>
                <w:color w:val="auto"/>
                <w:szCs w:val="21"/>
                <w:highlight w:val="none"/>
              </w:rPr>
            </w:pPr>
            <w:r>
              <w:rPr>
                <w:rFonts w:hint="eastAsia" w:ascii="宋体" w:hAnsi="宋体" w:cs="宋体"/>
                <w:bCs/>
                <w:color w:val="auto"/>
                <w:szCs w:val="21"/>
                <w:highlight w:val="none"/>
              </w:rPr>
              <w:t>4、家属探视时带入的食品（除粽子、团子、包子、茶叶蛋、坚果类、有核有骨刺等易噎食的食物）存放于食品柜内，每日检查食品是否在保质期内，水果有无异味和腐烂，家属会客带来的熟食（熟食一顿为宜，以防变质而影响病人的健康）需妥善安排。</w:t>
            </w:r>
          </w:p>
        </w:tc>
        <w:tc>
          <w:tcPr>
            <w:tcW w:w="0" w:type="auto"/>
            <w:vAlign w:val="center"/>
          </w:tcPr>
          <w:p w14:paraId="46ED9BD8">
            <w:pPr>
              <w:jc w:val="center"/>
              <w:rPr>
                <w:rFonts w:hint="eastAsia" w:ascii="宋体" w:hAnsi="宋体" w:cs="宋体"/>
                <w:bCs/>
                <w:color w:val="auto"/>
                <w:szCs w:val="21"/>
                <w:highlight w:val="none"/>
              </w:rPr>
            </w:pPr>
            <w:r>
              <w:rPr>
                <w:rFonts w:hint="eastAsia" w:ascii="宋体" w:hAnsi="宋体" w:cs="宋体"/>
                <w:bCs/>
                <w:color w:val="auto"/>
                <w:szCs w:val="21"/>
                <w:highlight w:val="none"/>
              </w:rPr>
              <w:t>2</w:t>
            </w:r>
          </w:p>
        </w:tc>
      </w:tr>
      <w:tr w14:paraId="4B797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 w:hRule="atLeast"/>
          <w:jc w:val="center"/>
        </w:trPr>
        <w:tc>
          <w:tcPr>
            <w:tcW w:w="0" w:type="auto"/>
            <w:vMerge w:val="continue"/>
            <w:vAlign w:val="center"/>
          </w:tcPr>
          <w:p w14:paraId="71E7D277">
            <w:pPr>
              <w:jc w:val="center"/>
              <w:rPr>
                <w:rFonts w:hint="eastAsia" w:ascii="宋体" w:hAnsi="宋体" w:cs="宋体"/>
                <w:bCs/>
                <w:color w:val="auto"/>
                <w:szCs w:val="21"/>
                <w:highlight w:val="none"/>
              </w:rPr>
            </w:pPr>
          </w:p>
        </w:tc>
        <w:tc>
          <w:tcPr>
            <w:tcW w:w="0" w:type="auto"/>
            <w:vAlign w:val="center"/>
          </w:tcPr>
          <w:p w14:paraId="65820222">
            <w:pPr>
              <w:rPr>
                <w:rFonts w:hint="eastAsia" w:ascii="宋体" w:hAnsi="宋体" w:cs="宋体"/>
                <w:bCs/>
                <w:color w:val="auto"/>
                <w:szCs w:val="21"/>
                <w:highlight w:val="none"/>
              </w:rPr>
            </w:pPr>
            <w:r>
              <w:rPr>
                <w:rFonts w:hint="eastAsia" w:ascii="宋体" w:hAnsi="宋体" w:cs="宋体"/>
                <w:bCs/>
                <w:color w:val="auto"/>
                <w:szCs w:val="21"/>
                <w:highlight w:val="none"/>
              </w:rPr>
              <w:t>5、保管员负责食品的发放，食品柜每日擦拭，保持清洁。</w:t>
            </w:r>
          </w:p>
        </w:tc>
        <w:tc>
          <w:tcPr>
            <w:tcW w:w="0" w:type="auto"/>
            <w:vAlign w:val="center"/>
          </w:tcPr>
          <w:p w14:paraId="4798C990">
            <w:pPr>
              <w:jc w:val="center"/>
              <w:rPr>
                <w:rFonts w:hint="eastAsia" w:ascii="宋体" w:hAnsi="宋体" w:cs="宋体"/>
                <w:bCs/>
                <w:color w:val="auto"/>
                <w:szCs w:val="21"/>
                <w:highlight w:val="none"/>
              </w:rPr>
            </w:pPr>
            <w:r>
              <w:rPr>
                <w:rFonts w:hint="eastAsia" w:ascii="宋体" w:hAnsi="宋体" w:cs="宋体"/>
                <w:bCs/>
                <w:color w:val="auto"/>
                <w:szCs w:val="21"/>
                <w:highlight w:val="none"/>
              </w:rPr>
              <w:t>2</w:t>
            </w:r>
          </w:p>
        </w:tc>
      </w:tr>
      <w:tr w14:paraId="1B0BC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 w:hRule="atLeast"/>
          <w:jc w:val="center"/>
        </w:trPr>
        <w:tc>
          <w:tcPr>
            <w:tcW w:w="0" w:type="auto"/>
            <w:vMerge w:val="continue"/>
            <w:vAlign w:val="center"/>
          </w:tcPr>
          <w:p w14:paraId="0D35117D">
            <w:pPr>
              <w:jc w:val="center"/>
              <w:rPr>
                <w:rFonts w:hint="eastAsia" w:ascii="宋体" w:hAnsi="宋体" w:cs="宋体"/>
                <w:bCs/>
                <w:color w:val="auto"/>
                <w:szCs w:val="21"/>
                <w:highlight w:val="none"/>
              </w:rPr>
            </w:pPr>
          </w:p>
        </w:tc>
        <w:tc>
          <w:tcPr>
            <w:tcW w:w="0" w:type="auto"/>
            <w:vAlign w:val="center"/>
          </w:tcPr>
          <w:p w14:paraId="47ECB00B">
            <w:pPr>
              <w:rPr>
                <w:rFonts w:hint="eastAsia" w:ascii="宋体" w:hAnsi="宋体" w:cs="宋体"/>
                <w:bCs/>
                <w:color w:val="auto"/>
                <w:szCs w:val="21"/>
                <w:highlight w:val="none"/>
              </w:rPr>
            </w:pPr>
            <w:r>
              <w:rPr>
                <w:rFonts w:hint="eastAsia" w:ascii="宋体" w:hAnsi="宋体" w:cs="宋体"/>
                <w:bCs/>
                <w:color w:val="auto"/>
                <w:szCs w:val="21"/>
                <w:highlight w:val="none"/>
              </w:rPr>
              <w:t>6、根据季节存放病人衣物，必要时与家属联系，调换衣服。</w:t>
            </w:r>
          </w:p>
        </w:tc>
        <w:tc>
          <w:tcPr>
            <w:tcW w:w="0" w:type="auto"/>
            <w:vAlign w:val="center"/>
          </w:tcPr>
          <w:p w14:paraId="5E2A6259">
            <w:pPr>
              <w:jc w:val="center"/>
              <w:rPr>
                <w:rFonts w:hint="eastAsia" w:ascii="宋体" w:hAnsi="宋体" w:cs="宋体"/>
                <w:bCs/>
                <w:color w:val="auto"/>
                <w:szCs w:val="21"/>
                <w:highlight w:val="none"/>
              </w:rPr>
            </w:pPr>
            <w:r>
              <w:rPr>
                <w:rFonts w:hint="eastAsia" w:ascii="宋体" w:hAnsi="宋体" w:cs="宋体"/>
                <w:bCs/>
                <w:color w:val="auto"/>
                <w:szCs w:val="21"/>
                <w:highlight w:val="none"/>
              </w:rPr>
              <w:t>2</w:t>
            </w:r>
          </w:p>
        </w:tc>
      </w:tr>
      <w:tr w14:paraId="26539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0" w:type="auto"/>
            <w:vMerge w:val="continue"/>
            <w:vAlign w:val="center"/>
          </w:tcPr>
          <w:p w14:paraId="2EDEE594">
            <w:pPr>
              <w:jc w:val="center"/>
              <w:rPr>
                <w:rFonts w:hint="eastAsia" w:ascii="宋体" w:hAnsi="宋体" w:cs="宋体"/>
                <w:bCs/>
                <w:color w:val="auto"/>
                <w:szCs w:val="21"/>
                <w:highlight w:val="none"/>
              </w:rPr>
            </w:pPr>
          </w:p>
        </w:tc>
        <w:tc>
          <w:tcPr>
            <w:tcW w:w="0" w:type="auto"/>
            <w:vAlign w:val="center"/>
          </w:tcPr>
          <w:p w14:paraId="381A3648">
            <w:pPr>
              <w:rPr>
                <w:rFonts w:hint="eastAsia" w:ascii="宋体" w:hAnsi="宋体" w:cs="宋体"/>
                <w:bCs/>
                <w:color w:val="auto"/>
                <w:szCs w:val="21"/>
                <w:highlight w:val="none"/>
              </w:rPr>
            </w:pPr>
            <w:r>
              <w:rPr>
                <w:rFonts w:hint="eastAsia" w:ascii="宋体" w:hAnsi="宋体" w:cs="宋体"/>
                <w:bCs/>
                <w:color w:val="auto"/>
                <w:szCs w:val="21"/>
                <w:highlight w:val="none"/>
              </w:rPr>
              <w:t>7、男病房香烟专柜保管，有相应记录，每日发放香烟5支。</w:t>
            </w:r>
          </w:p>
        </w:tc>
        <w:tc>
          <w:tcPr>
            <w:tcW w:w="0" w:type="auto"/>
            <w:vAlign w:val="center"/>
          </w:tcPr>
          <w:p w14:paraId="60A147FD">
            <w:pPr>
              <w:jc w:val="center"/>
              <w:rPr>
                <w:rFonts w:hint="eastAsia" w:ascii="宋体" w:hAnsi="宋体" w:cs="宋体"/>
                <w:bCs/>
                <w:color w:val="auto"/>
                <w:szCs w:val="21"/>
                <w:highlight w:val="none"/>
              </w:rPr>
            </w:pPr>
            <w:r>
              <w:rPr>
                <w:rFonts w:hint="eastAsia" w:ascii="宋体" w:hAnsi="宋体" w:cs="宋体"/>
                <w:bCs/>
                <w:color w:val="auto"/>
                <w:szCs w:val="21"/>
                <w:highlight w:val="none"/>
              </w:rPr>
              <w:t>2</w:t>
            </w:r>
          </w:p>
        </w:tc>
      </w:tr>
      <w:tr w14:paraId="79643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0" w:type="auto"/>
            <w:vMerge w:val="restart"/>
            <w:vAlign w:val="center"/>
          </w:tcPr>
          <w:p w14:paraId="706CB857">
            <w:pPr>
              <w:jc w:val="center"/>
              <w:rPr>
                <w:rFonts w:hint="eastAsia" w:ascii="宋体" w:hAnsi="宋体" w:cs="宋体"/>
                <w:bCs/>
                <w:color w:val="auto"/>
                <w:szCs w:val="21"/>
                <w:highlight w:val="none"/>
              </w:rPr>
            </w:pPr>
            <w:r>
              <w:rPr>
                <w:rFonts w:hint="eastAsia" w:ascii="宋体" w:hAnsi="宋体" w:cs="宋体"/>
                <w:bCs/>
                <w:color w:val="auto"/>
                <w:szCs w:val="21"/>
                <w:highlight w:val="none"/>
              </w:rPr>
              <w:t>D</w:t>
            </w:r>
          </w:p>
        </w:tc>
        <w:tc>
          <w:tcPr>
            <w:tcW w:w="0" w:type="auto"/>
            <w:shd w:val="clear" w:color="auto" w:fill="C0C0C0"/>
            <w:vAlign w:val="center"/>
          </w:tcPr>
          <w:p w14:paraId="15E8CDCE">
            <w:pPr>
              <w:jc w:val="center"/>
              <w:rPr>
                <w:rFonts w:hint="eastAsia" w:ascii="宋体" w:hAnsi="宋体" w:cs="宋体"/>
                <w:bCs/>
                <w:color w:val="auto"/>
                <w:szCs w:val="21"/>
                <w:highlight w:val="none"/>
              </w:rPr>
            </w:pPr>
            <w:r>
              <w:rPr>
                <w:rFonts w:hint="eastAsia" w:ascii="宋体" w:hAnsi="宋体" w:cs="宋体"/>
                <w:bCs/>
                <w:color w:val="auto"/>
                <w:szCs w:val="21"/>
                <w:highlight w:val="none"/>
              </w:rPr>
              <w:t>食堂餐饮服务管理</w:t>
            </w:r>
          </w:p>
        </w:tc>
        <w:tc>
          <w:tcPr>
            <w:tcW w:w="0" w:type="auto"/>
            <w:shd w:val="clear" w:color="auto" w:fill="C0C0C0"/>
            <w:vAlign w:val="center"/>
          </w:tcPr>
          <w:p w14:paraId="1F2C1667">
            <w:pPr>
              <w:jc w:val="center"/>
              <w:rPr>
                <w:rFonts w:hint="eastAsia" w:ascii="宋体" w:hAnsi="宋体" w:cs="宋体"/>
                <w:bCs/>
                <w:color w:val="auto"/>
                <w:szCs w:val="21"/>
                <w:highlight w:val="none"/>
              </w:rPr>
            </w:pPr>
            <w:r>
              <w:rPr>
                <w:rFonts w:hint="eastAsia" w:ascii="宋体" w:hAnsi="宋体" w:cs="宋体"/>
                <w:bCs/>
                <w:color w:val="auto"/>
                <w:szCs w:val="21"/>
                <w:highlight w:val="none"/>
              </w:rPr>
              <w:t>20</w:t>
            </w:r>
          </w:p>
        </w:tc>
      </w:tr>
      <w:tr w14:paraId="5B364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 w:hRule="atLeast"/>
          <w:jc w:val="center"/>
        </w:trPr>
        <w:tc>
          <w:tcPr>
            <w:tcW w:w="0" w:type="auto"/>
            <w:vMerge w:val="continue"/>
            <w:vAlign w:val="center"/>
          </w:tcPr>
          <w:p w14:paraId="1528B682">
            <w:pPr>
              <w:jc w:val="center"/>
              <w:rPr>
                <w:rFonts w:hint="eastAsia" w:ascii="宋体" w:hAnsi="宋体" w:cs="宋体"/>
                <w:bCs/>
                <w:color w:val="auto"/>
                <w:szCs w:val="21"/>
                <w:highlight w:val="none"/>
              </w:rPr>
            </w:pPr>
          </w:p>
        </w:tc>
        <w:tc>
          <w:tcPr>
            <w:tcW w:w="0" w:type="auto"/>
            <w:vAlign w:val="center"/>
          </w:tcPr>
          <w:p w14:paraId="55EE523F">
            <w:pPr>
              <w:rPr>
                <w:rFonts w:hint="eastAsia" w:ascii="宋体" w:hAnsi="宋体" w:cs="宋体"/>
                <w:bCs/>
                <w:color w:val="auto"/>
                <w:szCs w:val="21"/>
                <w:highlight w:val="none"/>
              </w:rPr>
            </w:pPr>
            <w:r>
              <w:rPr>
                <w:rFonts w:hint="eastAsia" w:ascii="宋体" w:hAnsi="宋体" w:cs="宋体"/>
                <w:bCs/>
                <w:color w:val="auto"/>
                <w:szCs w:val="21"/>
                <w:highlight w:val="none"/>
              </w:rPr>
              <w:t>1.卫生管理制度、食堂用餐时间表等制度上墙</w:t>
            </w:r>
          </w:p>
        </w:tc>
        <w:tc>
          <w:tcPr>
            <w:tcW w:w="0" w:type="auto"/>
            <w:vAlign w:val="center"/>
          </w:tcPr>
          <w:p w14:paraId="32D61D7E">
            <w:pPr>
              <w:jc w:val="center"/>
              <w:rPr>
                <w:rFonts w:hint="eastAsia" w:ascii="宋体" w:hAnsi="宋体" w:cs="宋体"/>
                <w:bCs/>
                <w:color w:val="auto"/>
                <w:szCs w:val="21"/>
                <w:highlight w:val="none"/>
              </w:rPr>
            </w:pPr>
            <w:r>
              <w:rPr>
                <w:rFonts w:hint="eastAsia" w:ascii="宋体" w:hAnsi="宋体" w:cs="宋体"/>
                <w:bCs/>
                <w:color w:val="auto"/>
                <w:szCs w:val="21"/>
                <w:highlight w:val="none"/>
              </w:rPr>
              <w:t>2</w:t>
            </w:r>
          </w:p>
        </w:tc>
      </w:tr>
      <w:tr w14:paraId="0BEE5142">
        <w:tblPrEx>
          <w:tblCellMar>
            <w:top w:w="0" w:type="dxa"/>
            <w:left w:w="108" w:type="dxa"/>
            <w:bottom w:w="0" w:type="dxa"/>
            <w:right w:w="108" w:type="dxa"/>
          </w:tblCellMar>
        </w:tblPrEx>
        <w:trPr>
          <w:trHeight w:val="287" w:hRule="atLeast"/>
          <w:jc w:val="center"/>
        </w:trPr>
        <w:tc>
          <w:tcPr>
            <w:tcW w:w="0" w:type="auto"/>
            <w:vMerge w:val="continue"/>
            <w:vAlign w:val="center"/>
          </w:tcPr>
          <w:p w14:paraId="4C2C8A1F">
            <w:pPr>
              <w:jc w:val="center"/>
              <w:rPr>
                <w:rFonts w:hint="eastAsia" w:ascii="宋体" w:hAnsi="宋体" w:cs="宋体"/>
                <w:bCs/>
                <w:color w:val="auto"/>
                <w:szCs w:val="21"/>
                <w:highlight w:val="none"/>
              </w:rPr>
            </w:pPr>
          </w:p>
        </w:tc>
        <w:tc>
          <w:tcPr>
            <w:tcW w:w="0" w:type="auto"/>
            <w:vAlign w:val="center"/>
          </w:tcPr>
          <w:p w14:paraId="63BB9AF4">
            <w:pPr>
              <w:rPr>
                <w:rFonts w:hint="eastAsia" w:ascii="宋体" w:hAnsi="宋体" w:cs="宋体"/>
                <w:bCs/>
                <w:color w:val="auto"/>
                <w:szCs w:val="21"/>
                <w:highlight w:val="none"/>
              </w:rPr>
            </w:pPr>
            <w:r>
              <w:rPr>
                <w:rFonts w:hint="eastAsia" w:ascii="宋体" w:hAnsi="宋体" w:cs="宋体"/>
                <w:bCs/>
                <w:color w:val="auto"/>
                <w:szCs w:val="21"/>
                <w:highlight w:val="none"/>
              </w:rPr>
              <w:t>2.注意个人清洁卫生，定期做好健康检查，持证上岗；配发菜肴时须穿戴工作服、帽、口罩。(不定期检查）</w:t>
            </w:r>
          </w:p>
        </w:tc>
        <w:tc>
          <w:tcPr>
            <w:tcW w:w="0" w:type="auto"/>
            <w:vAlign w:val="center"/>
          </w:tcPr>
          <w:p w14:paraId="2F347EB9">
            <w:pPr>
              <w:jc w:val="center"/>
              <w:rPr>
                <w:rFonts w:hint="eastAsia" w:ascii="宋体" w:hAnsi="宋体" w:cs="宋体"/>
                <w:bCs/>
                <w:color w:val="auto"/>
                <w:szCs w:val="21"/>
                <w:highlight w:val="none"/>
              </w:rPr>
            </w:pPr>
            <w:r>
              <w:rPr>
                <w:rFonts w:hint="eastAsia" w:ascii="宋体" w:hAnsi="宋体" w:cs="宋体"/>
                <w:bCs/>
                <w:color w:val="auto"/>
                <w:szCs w:val="21"/>
                <w:highlight w:val="none"/>
              </w:rPr>
              <w:t>3</w:t>
            </w:r>
          </w:p>
        </w:tc>
      </w:tr>
      <w:tr w14:paraId="59E75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0" w:type="auto"/>
            <w:vMerge w:val="continue"/>
            <w:vAlign w:val="center"/>
          </w:tcPr>
          <w:p w14:paraId="50B0007B">
            <w:pPr>
              <w:jc w:val="center"/>
              <w:rPr>
                <w:rFonts w:hint="eastAsia" w:ascii="宋体" w:hAnsi="宋体" w:cs="宋体"/>
                <w:bCs/>
                <w:color w:val="auto"/>
                <w:szCs w:val="21"/>
                <w:highlight w:val="none"/>
              </w:rPr>
            </w:pPr>
          </w:p>
        </w:tc>
        <w:tc>
          <w:tcPr>
            <w:tcW w:w="0" w:type="auto"/>
            <w:vAlign w:val="center"/>
          </w:tcPr>
          <w:p w14:paraId="0B0F4EAC">
            <w:pPr>
              <w:rPr>
                <w:rFonts w:hint="eastAsia" w:ascii="宋体" w:hAnsi="宋体" w:cs="宋体"/>
                <w:bCs/>
                <w:color w:val="auto"/>
                <w:szCs w:val="21"/>
                <w:highlight w:val="none"/>
              </w:rPr>
            </w:pPr>
            <w:r>
              <w:rPr>
                <w:rFonts w:hint="eastAsia" w:ascii="宋体" w:hAnsi="宋体" w:cs="宋体"/>
                <w:bCs/>
                <w:color w:val="auto"/>
                <w:szCs w:val="21"/>
                <w:highlight w:val="none"/>
              </w:rPr>
              <w:t>3.饭菜质量把关，不接受变质食品，不供应变质饭菜，每餐加工食品均有留样。</w:t>
            </w:r>
          </w:p>
        </w:tc>
        <w:tc>
          <w:tcPr>
            <w:tcW w:w="0" w:type="auto"/>
            <w:vAlign w:val="center"/>
          </w:tcPr>
          <w:p w14:paraId="6549C3BF">
            <w:pPr>
              <w:jc w:val="center"/>
              <w:rPr>
                <w:rFonts w:hint="eastAsia" w:ascii="宋体" w:hAnsi="宋体" w:cs="宋体"/>
                <w:bCs/>
                <w:color w:val="auto"/>
                <w:szCs w:val="21"/>
                <w:highlight w:val="none"/>
              </w:rPr>
            </w:pPr>
            <w:r>
              <w:rPr>
                <w:rFonts w:hint="eastAsia" w:ascii="宋体" w:hAnsi="宋体" w:cs="宋体"/>
                <w:bCs/>
                <w:color w:val="auto"/>
                <w:szCs w:val="21"/>
                <w:highlight w:val="none"/>
              </w:rPr>
              <w:t>3</w:t>
            </w:r>
          </w:p>
        </w:tc>
      </w:tr>
      <w:tr w14:paraId="0D818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vAlign w:val="center"/>
          </w:tcPr>
          <w:p w14:paraId="1B0606D9">
            <w:pPr>
              <w:jc w:val="center"/>
              <w:rPr>
                <w:rFonts w:hint="eastAsia" w:ascii="宋体" w:hAnsi="宋体" w:cs="宋体"/>
                <w:bCs/>
                <w:color w:val="auto"/>
                <w:szCs w:val="21"/>
                <w:highlight w:val="none"/>
              </w:rPr>
            </w:pPr>
          </w:p>
        </w:tc>
        <w:tc>
          <w:tcPr>
            <w:tcW w:w="0" w:type="auto"/>
            <w:vAlign w:val="center"/>
          </w:tcPr>
          <w:p w14:paraId="51416A5A">
            <w:pPr>
              <w:rPr>
                <w:rFonts w:hint="eastAsia" w:ascii="宋体" w:hAnsi="宋体" w:cs="宋体"/>
                <w:bCs/>
                <w:color w:val="auto"/>
                <w:szCs w:val="21"/>
                <w:highlight w:val="none"/>
              </w:rPr>
            </w:pPr>
            <w:r>
              <w:rPr>
                <w:rFonts w:hint="eastAsia" w:ascii="宋体" w:hAnsi="宋体" w:cs="宋体"/>
                <w:bCs/>
                <w:color w:val="auto"/>
                <w:szCs w:val="21"/>
                <w:highlight w:val="none"/>
              </w:rPr>
              <w:t>4.餐桌、墙面、地面、门窗、水池、风扇，泔水桶等无污染，无油腻，无严重破损，排水通畅。</w:t>
            </w:r>
          </w:p>
        </w:tc>
        <w:tc>
          <w:tcPr>
            <w:tcW w:w="0" w:type="auto"/>
            <w:vAlign w:val="center"/>
          </w:tcPr>
          <w:p w14:paraId="5599EF63">
            <w:pPr>
              <w:jc w:val="center"/>
              <w:rPr>
                <w:rFonts w:hint="eastAsia" w:ascii="宋体" w:hAnsi="宋体" w:cs="宋体"/>
                <w:bCs/>
                <w:color w:val="auto"/>
                <w:szCs w:val="21"/>
                <w:highlight w:val="none"/>
              </w:rPr>
            </w:pPr>
            <w:r>
              <w:rPr>
                <w:rFonts w:hint="eastAsia" w:ascii="宋体" w:hAnsi="宋体" w:cs="宋体"/>
                <w:bCs/>
                <w:color w:val="auto"/>
                <w:szCs w:val="21"/>
                <w:highlight w:val="none"/>
              </w:rPr>
              <w:t>2</w:t>
            </w:r>
          </w:p>
        </w:tc>
      </w:tr>
      <w:tr w14:paraId="4FC1B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0" w:type="auto"/>
            <w:vMerge w:val="continue"/>
            <w:vAlign w:val="center"/>
          </w:tcPr>
          <w:p w14:paraId="3D97DE18">
            <w:pPr>
              <w:jc w:val="center"/>
              <w:rPr>
                <w:rFonts w:hint="eastAsia" w:ascii="宋体" w:hAnsi="宋体" w:cs="宋体"/>
                <w:bCs/>
                <w:color w:val="auto"/>
                <w:szCs w:val="21"/>
                <w:highlight w:val="none"/>
              </w:rPr>
            </w:pPr>
          </w:p>
        </w:tc>
        <w:tc>
          <w:tcPr>
            <w:tcW w:w="0" w:type="auto"/>
            <w:vAlign w:val="center"/>
          </w:tcPr>
          <w:p w14:paraId="06300C20">
            <w:pPr>
              <w:rPr>
                <w:rFonts w:hint="eastAsia" w:ascii="宋体" w:hAnsi="宋体" w:cs="宋体"/>
                <w:bCs/>
                <w:color w:val="auto"/>
                <w:szCs w:val="21"/>
                <w:highlight w:val="none"/>
              </w:rPr>
            </w:pPr>
            <w:r>
              <w:rPr>
                <w:rFonts w:hint="eastAsia" w:ascii="宋体" w:hAnsi="宋体" w:cs="宋体"/>
                <w:bCs/>
                <w:color w:val="auto"/>
                <w:szCs w:val="21"/>
                <w:highlight w:val="none"/>
              </w:rPr>
              <w:t>5.爱护食堂厨具和公共物品，保持厨具整洁整齐，有专人保管，不得私自出借或租用，餐具及盛放器具定期清洁、消毒，摆放整齐。</w:t>
            </w:r>
          </w:p>
        </w:tc>
        <w:tc>
          <w:tcPr>
            <w:tcW w:w="0" w:type="auto"/>
            <w:vAlign w:val="center"/>
          </w:tcPr>
          <w:p w14:paraId="7C4DCD16">
            <w:pPr>
              <w:jc w:val="center"/>
              <w:rPr>
                <w:rFonts w:hint="eastAsia" w:ascii="宋体" w:hAnsi="宋体" w:cs="宋体"/>
                <w:bCs/>
                <w:color w:val="auto"/>
                <w:szCs w:val="21"/>
                <w:highlight w:val="none"/>
              </w:rPr>
            </w:pPr>
            <w:r>
              <w:rPr>
                <w:rFonts w:hint="eastAsia" w:ascii="宋体" w:hAnsi="宋体" w:cs="宋体"/>
                <w:bCs/>
                <w:color w:val="auto"/>
                <w:szCs w:val="21"/>
                <w:highlight w:val="none"/>
              </w:rPr>
              <w:t>2</w:t>
            </w:r>
          </w:p>
        </w:tc>
      </w:tr>
      <w:tr w14:paraId="449C5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 w:hRule="atLeast"/>
          <w:jc w:val="center"/>
        </w:trPr>
        <w:tc>
          <w:tcPr>
            <w:tcW w:w="0" w:type="auto"/>
            <w:vMerge w:val="continue"/>
            <w:vAlign w:val="center"/>
          </w:tcPr>
          <w:p w14:paraId="56AE6CCF">
            <w:pPr>
              <w:jc w:val="center"/>
              <w:rPr>
                <w:rFonts w:hint="eastAsia" w:ascii="宋体" w:hAnsi="宋体" w:cs="宋体"/>
                <w:bCs/>
                <w:color w:val="auto"/>
                <w:szCs w:val="21"/>
                <w:highlight w:val="none"/>
              </w:rPr>
            </w:pPr>
          </w:p>
        </w:tc>
        <w:tc>
          <w:tcPr>
            <w:tcW w:w="0" w:type="auto"/>
            <w:vAlign w:val="center"/>
          </w:tcPr>
          <w:p w14:paraId="7C911D0F">
            <w:pPr>
              <w:rPr>
                <w:rFonts w:hint="eastAsia" w:ascii="宋体" w:hAnsi="宋体" w:cs="宋体"/>
                <w:bCs/>
                <w:color w:val="auto"/>
                <w:szCs w:val="21"/>
                <w:highlight w:val="none"/>
              </w:rPr>
            </w:pPr>
            <w:r>
              <w:rPr>
                <w:rFonts w:hint="eastAsia" w:ascii="宋体" w:hAnsi="宋体" w:cs="宋体"/>
                <w:bCs/>
                <w:color w:val="auto"/>
                <w:szCs w:val="21"/>
                <w:highlight w:val="none"/>
              </w:rPr>
              <w:t>6.调味品严把质量关，保证在保质期内，无变质过期。</w:t>
            </w:r>
          </w:p>
        </w:tc>
        <w:tc>
          <w:tcPr>
            <w:tcW w:w="0" w:type="auto"/>
            <w:vAlign w:val="center"/>
          </w:tcPr>
          <w:p w14:paraId="6614BCD0">
            <w:pPr>
              <w:jc w:val="center"/>
              <w:rPr>
                <w:rFonts w:hint="eastAsia" w:ascii="宋体" w:hAnsi="宋体" w:cs="宋体"/>
                <w:bCs/>
                <w:color w:val="auto"/>
                <w:szCs w:val="21"/>
                <w:highlight w:val="none"/>
              </w:rPr>
            </w:pPr>
            <w:r>
              <w:rPr>
                <w:rFonts w:hint="eastAsia" w:ascii="宋体" w:hAnsi="宋体" w:cs="宋体"/>
                <w:bCs/>
                <w:color w:val="auto"/>
                <w:szCs w:val="21"/>
                <w:highlight w:val="none"/>
              </w:rPr>
              <w:t>2</w:t>
            </w:r>
          </w:p>
        </w:tc>
      </w:tr>
      <w:tr w14:paraId="41F9E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jc w:val="center"/>
        </w:trPr>
        <w:tc>
          <w:tcPr>
            <w:tcW w:w="0" w:type="auto"/>
            <w:vMerge w:val="continue"/>
            <w:vAlign w:val="center"/>
          </w:tcPr>
          <w:p w14:paraId="3C6FE824">
            <w:pPr>
              <w:jc w:val="center"/>
              <w:rPr>
                <w:rFonts w:hint="eastAsia" w:ascii="宋体" w:hAnsi="宋体" w:cs="宋体"/>
                <w:bCs/>
                <w:color w:val="auto"/>
                <w:szCs w:val="21"/>
                <w:highlight w:val="none"/>
              </w:rPr>
            </w:pPr>
          </w:p>
        </w:tc>
        <w:tc>
          <w:tcPr>
            <w:tcW w:w="0" w:type="auto"/>
            <w:vAlign w:val="center"/>
          </w:tcPr>
          <w:p w14:paraId="2C2988B8">
            <w:pPr>
              <w:rPr>
                <w:rFonts w:hint="eastAsia" w:ascii="宋体" w:hAnsi="宋体" w:cs="宋体"/>
                <w:bCs/>
                <w:color w:val="auto"/>
                <w:szCs w:val="21"/>
                <w:highlight w:val="none"/>
              </w:rPr>
            </w:pPr>
            <w:r>
              <w:rPr>
                <w:rFonts w:hint="eastAsia" w:ascii="宋体" w:hAnsi="宋体" w:cs="宋体"/>
                <w:bCs/>
                <w:color w:val="auto"/>
                <w:szCs w:val="21"/>
                <w:highlight w:val="none"/>
              </w:rPr>
              <w:t>7.食堂菜品及工作人员服务态度进行每月满意度调查。</w:t>
            </w:r>
          </w:p>
        </w:tc>
        <w:tc>
          <w:tcPr>
            <w:tcW w:w="0" w:type="auto"/>
            <w:vAlign w:val="center"/>
          </w:tcPr>
          <w:p w14:paraId="506EB3F0">
            <w:pPr>
              <w:jc w:val="center"/>
              <w:rPr>
                <w:rFonts w:hint="eastAsia" w:ascii="宋体" w:hAnsi="宋体" w:cs="宋体"/>
                <w:bCs/>
                <w:color w:val="auto"/>
                <w:szCs w:val="21"/>
                <w:highlight w:val="none"/>
              </w:rPr>
            </w:pPr>
            <w:r>
              <w:rPr>
                <w:rFonts w:hint="eastAsia" w:ascii="宋体" w:hAnsi="宋体" w:cs="宋体"/>
                <w:bCs/>
                <w:color w:val="auto"/>
                <w:szCs w:val="21"/>
                <w:highlight w:val="none"/>
              </w:rPr>
              <w:t>2</w:t>
            </w:r>
          </w:p>
        </w:tc>
      </w:tr>
      <w:tr w14:paraId="1F892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0" w:type="auto"/>
            <w:vMerge w:val="continue"/>
            <w:vAlign w:val="center"/>
          </w:tcPr>
          <w:p w14:paraId="2B3CFB0F">
            <w:pPr>
              <w:jc w:val="center"/>
              <w:rPr>
                <w:rFonts w:hint="eastAsia" w:ascii="宋体" w:hAnsi="宋体" w:cs="宋体"/>
                <w:bCs/>
                <w:color w:val="auto"/>
                <w:szCs w:val="21"/>
                <w:highlight w:val="none"/>
              </w:rPr>
            </w:pPr>
          </w:p>
        </w:tc>
        <w:tc>
          <w:tcPr>
            <w:tcW w:w="0" w:type="auto"/>
            <w:vAlign w:val="center"/>
          </w:tcPr>
          <w:p w14:paraId="5D783268">
            <w:pPr>
              <w:rPr>
                <w:rFonts w:hint="eastAsia" w:ascii="宋体" w:hAnsi="宋体" w:cs="宋体"/>
                <w:bCs/>
                <w:color w:val="auto"/>
                <w:szCs w:val="21"/>
                <w:highlight w:val="none"/>
              </w:rPr>
            </w:pPr>
            <w:r>
              <w:rPr>
                <w:rFonts w:hint="eastAsia" w:ascii="宋体" w:hAnsi="宋体" w:cs="宋体"/>
                <w:bCs/>
                <w:color w:val="auto"/>
                <w:szCs w:val="21"/>
                <w:highlight w:val="none"/>
              </w:rPr>
              <w:t>8.保证饮食卫生，搞好食堂卫生，节约用电用水，认真落实食品安全事故零目标</w:t>
            </w:r>
          </w:p>
        </w:tc>
        <w:tc>
          <w:tcPr>
            <w:tcW w:w="0" w:type="auto"/>
            <w:vAlign w:val="center"/>
          </w:tcPr>
          <w:p w14:paraId="6732B651">
            <w:pPr>
              <w:jc w:val="center"/>
              <w:rPr>
                <w:rFonts w:hint="eastAsia" w:ascii="宋体" w:hAnsi="宋体" w:cs="宋体"/>
                <w:bCs/>
                <w:color w:val="auto"/>
                <w:szCs w:val="21"/>
                <w:highlight w:val="none"/>
              </w:rPr>
            </w:pPr>
            <w:r>
              <w:rPr>
                <w:rFonts w:hint="eastAsia" w:ascii="宋体" w:hAnsi="宋体" w:cs="宋体"/>
                <w:bCs/>
                <w:color w:val="auto"/>
                <w:szCs w:val="21"/>
                <w:highlight w:val="none"/>
              </w:rPr>
              <w:t>2</w:t>
            </w:r>
          </w:p>
        </w:tc>
      </w:tr>
      <w:tr w14:paraId="2A17E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 w:hRule="atLeast"/>
          <w:jc w:val="center"/>
        </w:trPr>
        <w:tc>
          <w:tcPr>
            <w:tcW w:w="0" w:type="auto"/>
            <w:vMerge w:val="continue"/>
            <w:vAlign w:val="center"/>
          </w:tcPr>
          <w:p w14:paraId="6BF2F9D6">
            <w:pPr>
              <w:jc w:val="center"/>
              <w:rPr>
                <w:rFonts w:hint="eastAsia" w:ascii="宋体" w:hAnsi="宋体" w:cs="宋体"/>
                <w:bCs/>
                <w:color w:val="auto"/>
                <w:szCs w:val="21"/>
                <w:highlight w:val="none"/>
              </w:rPr>
            </w:pPr>
          </w:p>
        </w:tc>
        <w:tc>
          <w:tcPr>
            <w:tcW w:w="0" w:type="auto"/>
            <w:vAlign w:val="center"/>
          </w:tcPr>
          <w:p w14:paraId="6367715D">
            <w:pPr>
              <w:rPr>
                <w:rFonts w:hint="eastAsia" w:ascii="宋体" w:hAnsi="宋体" w:cs="宋体"/>
                <w:bCs/>
                <w:color w:val="auto"/>
                <w:szCs w:val="21"/>
                <w:highlight w:val="none"/>
              </w:rPr>
            </w:pPr>
            <w:r>
              <w:rPr>
                <w:rFonts w:hint="eastAsia" w:ascii="宋体" w:hAnsi="宋体" w:cs="宋体"/>
                <w:bCs/>
                <w:color w:val="auto"/>
                <w:szCs w:val="21"/>
                <w:highlight w:val="none"/>
              </w:rPr>
              <w:t>9.医院蔬菜种植园由专人负责耕种。</w:t>
            </w:r>
          </w:p>
        </w:tc>
        <w:tc>
          <w:tcPr>
            <w:tcW w:w="0" w:type="auto"/>
            <w:vAlign w:val="center"/>
          </w:tcPr>
          <w:p w14:paraId="1274E8E9">
            <w:pPr>
              <w:jc w:val="center"/>
              <w:rPr>
                <w:rFonts w:hint="eastAsia" w:ascii="宋体" w:hAnsi="宋体" w:cs="宋体"/>
                <w:bCs/>
                <w:color w:val="auto"/>
                <w:szCs w:val="21"/>
                <w:highlight w:val="none"/>
              </w:rPr>
            </w:pPr>
            <w:r>
              <w:rPr>
                <w:rFonts w:hint="eastAsia" w:ascii="宋体" w:hAnsi="宋体" w:cs="宋体"/>
                <w:bCs/>
                <w:color w:val="auto"/>
                <w:szCs w:val="21"/>
                <w:highlight w:val="none"/>
              </w:rPr>
              <w:t>2</w:t>
            </w:r>
          </w:p>
        </w:tc>
      </w:tr>
      <w:tr w14:paraId="435BE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0" w:type="auto"/>
            <w:vMerge w:val="restart"/>
            <w:vAlign w:val="center"/>
          </w:tcPr>
          <w:p w14:paraId="72821DD1">
            <w:pPr>
              <w:jc w:val="center"/>
              <w:rPr>
                <w:rFonts w:hint="eastAsia" w:ascii="宋体" w:hAnsi="宋体" w:cs="宋体"/>
                <w:bCs/>
                <w:color w:val="auto"/>
                <w:szCs w:val="21"/>
                <w:highlight w:val="none"/>
              </w:rPr>
            </w:pPr>
            <w:r>
              <w:rPr>
                <w:rFonts w:hint="eastAsia" w:ascii="宋体" w:hAnsi="宋体" w:cs="宋体"/>
                <w:bCs/>
                <w:color w:val="auto"/>
                <w:szCs w:val="21"/>
                <w:highlight w:val="none"/>
              </w:rPr>
              <w:t>E</w:t>
            </w:r>
          </w:p>
        </w:tc>
        <w:tc>
          <w:tcPr>
            <w:tcW w:w="0" w:type="auto"/>
            <w:shd w:val="clear" w:color="auto" w:fill="BEBEBE"/>
            <w:vAlign w:val="center"/>
          </w:tcPr>
          <w:p w14:paraId="04BEDE34">
            <w:pPr>
              <w:jc w:val="center"/>
              <w:rPr>
                <w:rFonts w:hint="eastAsia" w:ascii="宋体" w:hAnsi="宋体" w:cs="宋体"/>
                <w:bCs/>
                <w:color w:val="auto"/>
                <w:szCs w:val="21"/>
                <w:highlight w:val="none"/>
              </w:rPr>
            </w:pPr>
            <w:r>
              <w:rPr>
                <w:rFonts w:hint="eastAsia" w:ascii="宋体" w:hAnsi="宋体" w:cs="宋体"/>
                <w:bCs/>
                <w:color w:val="auto"/>
                <w:szCs w:val="21"/>
                <w:highlight w:val="none"/>
              </w:rPr>
              <w:t>院感考核内容</w:t>
            </w:r>
          </w:p>
        </w:tc>
        <w:tc>
          <w:tcPr>
            <w:tcW w:w="0" w:type="auto"/>
            <w:shd w:val="clear" w:color="auto" w:fill="BEBEBE"/>
            <w:vAlign w:val="center"/>
          </w:tcPr>
          <w:p w14:paraId="295F2D5C">
            <w:pPr>
              <w:jc w:val="center"/>
              <w:rPr>
                <w:rFonts w:hint="eastAsia" w:ascii="宋体" w:hAnsi="宋体" w:cs="宋体"/>
                <w:bCs/>
                <w:color w:val="auto"/>
                <w:szCs w:val="21"/>
                <w:highlight w:val="none"/>
              </w:rPr>
            </w:pPr>
            <w:r>
              <w:rPr>
                <w:rFonts w:hint="eastAsia" w:ascii="宋体" w:hAnsi="宋体" w:cs="宋体"/>
                <w:bCs/>
                <w:color w:val="auto"/>
                <w:szCs w:val="21"/>
                <w:highlight w:val="none"/>
              </w:rPr>
              <w:t>20</w:t>
            </w:r>
          </w:p>
        </w:tc>
      </w:tr>
      <w:tr w14:paraId="0EF90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jc w:val="center"/>
        </w:trPr>
        <w:tc>
          <w:tcPr>
            <w:tcW w:w="0" w:type="auto"/>
            <w:vMerge w:val="continue"/>
            <w:vAlign w:val="center"/>
          </w:tcPr>
          <w:p w14:paraId="3885238F">
            <w:pPr>
              <w:jc w:val="center"/>
              <w:rPr>
                <w:rFonts w:hint="eastAsia" w:ascii="宋体" w:hAnsi="宋体" w:cs="宋体"/>
                <w:bCs/>
                <w:color w:val="auto"/>
                <w:szCs w:val="21"/>
                <w:highlight w:val="none"/>
              </w:rPr>
            </w:pPr>
          </w:p>
        </w:tc>
        <w:tc>
          <w:tcPr>
            <w:tcW w:w="0" w:type="auto"/>
            <w:vAlign w:val="center"/>
          </w:tcPr>
          <w:p w14:paraId="66B1F9C4">
            <w:pPr>
              <w:rPr>
                <w:rFonts w:hint="eastAsia" w:ascii="宋体" w:hAnsi="宋体" w:cs="宋体"/>
                <w:bCs/>
                <w:color w:val="auto"/>
                <w:szCs w:val="21"/>
                <w:highlight w:val="none"/>
              </w:rPr>
            </w:pPr>
            <w:r>
              <w:rPr>
                <w:rFonts w:hint="eastAsia" w:ascii="宋体" w:hAnsi="宋体" w:cs="宋体"/>
                <w:bCs/>
                <w:color w:val="auto"/>
                <w:szCs w:val="21"/>
                <w:highlight w:val="none"/>
              </w:rPr>
              <w:t>（一）感控基本要求</w:t>
            </w:r>
          </w:p>
        </w:tc>
        <w:tc>
          <w:tcPr>
            <w:tcW w:w="0" w:type="auto"/>
            <w:vMerge w:val="restart"/>
            <w:vAlign w:val="center"/>
          </w:tcPr>
          <w:p w14:paraId="54C7C5B8">
            <w:pPr>
              <w:jc w:val="center"/>
              <w:rPr>
                <w:rFonts w:hint="eastAsia" w:ascii="宋体" w:hAnsi="宋体" w:cs="宋体"/>
                <w:bCs/>
                <w:color w:val="auto"/>
                <w:szCs w:val="21"/>
                <w:highlight w:val="none"/>
              </w:rPr>
            </w:pPr>
            <w:r>
              <w:rPr>
                <w:rFonts w:hint="eastAsia" w:ascii="宋体" w:hAnsi="宋体" w:cs="宋体"/>
                <w:bCs/>
                <w:color w:val="auto"/>
                <w:szCs w:val="21"/>
                <w:highlight w:val="none"/>
              </w:rPr>
              <w:t>3</w:t>
            </w:r>
          </w:p>
        </w:tc>
      </w:tr>
      <w:tr w14:paraId="72BCD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 w:hRule="atLeast"/>
          <w:jc w:val="center"/>
        </w:trPr>
        <w:tc>
          <w:tcPr>
            <w:tcW w:w="0" w:type="auto"/>
            <w:vMerge w:val="continue"/>
            <w:vAlign w:val="center"/>
          </w:tcPr>
          <w:p w14:paraId="023A07F7">
            <w:pPr>
              <w:jc w:val="center"/>
              <w:rPr>
                <w:rFonts w:hint="eastAsia" w:ascii="宋体" w:hAnsi="宋体" w:cs="宋体"/>
                <w:bCs/>
                <w:color w:val="auto"/>
                <w:szCs w:val="21"/>
                <w:highlight w:val="none"/>
              </w:rPr>
            </w:pPr>
          </w:p>
        </w:tc>
        <w:tc>
          <w:tcPr>
            <w:tcW w:w="0" w:type="auto"/>
          </w:tcPr>
          <w:p w14:paraId="075039E5">
            <w:pPr>
              <w:rPr>
                <w:rFonts w:hint="eastAsia" w:ascii="宋体" w:hAnsi="宋体" w:cs="宋体"/>
                <w:bCs/>
                <w:color w:val="auto"/>
                <w:szCs w:val="21"/>
                <w:highlight w:val="none"/>
              </w:rPr>
            </w:pPr>
            <w:r>
              <w:rPr>
                <w:rFonts w:hint="eastAsia" w:ascii="宋体" w:hAnsi="宋体" w:cs="宋体"/>
                <w:bCs/>
                <w:color w:val="auto"/>
                <w:szCs w:val="21"/>
                <w:highlight w:val="none"/>
              </w:rPr>
              <w:t>1.进入医院工作的工人必须体检，身体健康无传染病方可上岗；运送医疗废物人员、食堂工作人员需每年体检</w:t>
            </w:r>
          </w:p>
        </w:tc>
        <w:tc>
          <w:tcPr>
            <w:tcW w:w="0" w:type="auto"/>
            <w:vMerge w:val="continue"/>
            <w:vAlign w:val="center"/>
          </w:tcPr>
          <w:p w14:paraId="2BC9AB49">
            <w:pPr>
              <w:jc w:val="center"/>
              <w:rPr>
                <w:rFonts w:hint="eastAsia" w:ascii="宋体" w:hAnsi="宋体" w:cs="宋体"/>
                <w:bCs/>
                <w:color w:val="auto"/>
                <w:szCs w:val="21"/>
                <w:highlight w:val="none"/>
              </w:rPr>
            </w:pPr>
          </w:p>
        </w:tc>
      </w:tr>
      <w:tr w14:paraId="63DF9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jc w:val="center"/>
        </w:trPr>
        <w:tc>
          <w:tcPr>
            <w:tcW w:w="0" w:type="auto"/>
            <w:vMerge w:val="continue"/>
            <w:vAlign w:val="center"/>
          </w:tcPr>
          <w:p w14:paraId="51824473">
            <w:pPr>
              <w:jc w:val="center"/>
              <w:rPr>
                <w:rFonts w:hint="eastAsia" w:ascii="宋体" w:hAnsi="宋体" w:cs="宋体"/>
                <w:bCs/>
                <w:color w:val="auto"/>
                <w:szCs w:val="21"/>
                <w:highlight w:val="none"/>
              </w:rPr>
            </w:pPr>
          </w:p>
        </w:tc>
        <w:tc>
          <w:tcPr>
            <w:tcW w:w="0" w:type="auto"/>
          </w:tcPr>
          <w:p w14:paraId="0D88D84E">
            <w:pPr>
              <w:rPr>
                <w:rFonts w:hint="eastAsia" w:ascii="宋体" w:hAnsi="宋体" w:cs="宋体"/>
                <w:bCs/>
                <w:color w:val="auto"/>
                <w:szCs w:val="21"/>
                <w:highlight w:val="none"/>
              </w:rPr>
            </w:pPr>
            <w:r>
              <w:rPr>
                <w:rFonts w:hint="eastAsia" w:ascii="宋体" w:hAnsi="宋体" w:cs="宋体"/>
                <w:bCs/>
                <w:color w:val="auto"/>
                <w:szCs w:val="21"/>
                <w:highlight w:val="none"/>
              </w:rPr>
              <w:t>2.对新入职工人进行基本的院感知识培训，并有记录</w:t>
            </w:r>
          </w:p>
        </w:tc>
        <w:tc>
          <w:tcPr>
            <w:tcW w:w="0" w:type="auto"/>
            <w:vMerge w:val="continue"/>
            <w:vAlign w:val="center"/>
          </w:tcPr>
          <w:p w14:paraId="55DEEAB9">
            <w:pPr>
              <w:jc w:val="center"/>
              <w:rPr>
                <w:rFonts w:hint="eastAsia" w:ascii="宋体" w:hAnsi="宋体" w:cs="宋体"/>
                <w:bCs/>
                <w:color w:val="auto"/>
                <w:szCs w:val="21"/>
                <w:highlight w:val="none"/>
              </w:rPr>
            </w:pPr>
          </w:p>
        </w:tc>
      </w:tr>
      <w:tr w14:paraId="04F83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jc w:val="center"/>
        </w:trPr>
        <w:tc>
          <w:tcPr>
            <w:tcW w:w="0" w:type="auto"/>
            <w:vMerge w:val="continue"/>
            <w:vAlign w:val="center"/>
          </w:tcPr>
          <w:p w14:paraId="1304036E">
            <w:pPr>
              <w:jc w:val="center"/>
              <w:rPr>
                <w:rFonts w:hint="eastAsia" w:ascii="宋体" w:hAnsi="宋体" w:cs="宋体"/>
                <w:bCs/>
                <w:color w:val="auto"/>
                <w:szCs w:val="21"/>
                <w:highlight w:val="none"/>
              </w:rPr>
            </w:pPr>
          </w:p>
        </w:tc>
        <w:tc>
          <w:tcPr>
            <w:tcW w:w="0" w:type="auto"/>
          </w:tcPr>
          <w:p w14:paraId="1C045F04">
            <w:pPr>
              <w:rPr>
                <w:rFonts w:hint="eastAsia" w:ascii="宋体" w:hAnsi="宋体" w:cs="宋体"/>
                <w:bCs/>
                <w:color w:val="auto"/>
                <w:szCs w:val="21"/>
                <w:highlight w:val="none"/>
              </w:rPr>
            </w:pPr>
            <w:r>
              <w:rPr>
                <w:rFonts w:hint="eastAsia" w:ascii="宋体" w:hAnsi="宋体" w:cs="宋体"/>
                <w:bCs/>
                <w:color w:val="auto"/>
                <w:szCs w:val="21"/>
                <w:highlight w:val="none"/>
              </w:rPr>
              <w:t>3.每月定期对员工进行感控知识培训</w:t>
            </w:r>
          </w:p>
        </w:tc>
        <w:tc>
          <w:tcPr>
            <w:tcW w:w="0" w:type="auto"/>
            <w:vMerge w:val="continue"/>
            <w:vAlign w:val="center"/>
          </w:tcPr>
          <w:p w14:paraId="6EBDDDF0">
            <w:pPr>
              <w:jc w:val="center"/>
              <w:rPr>
                <w:rFonts w:hint="eastAsia" w:ascii="宋体" w:hAnsi="宋体" w:cs="宋体"/>
                <w:bCs/>
                <w:color w:val="auto"/>
                <w:szCs w:val="21"/>
                <w:highlight w:val="none"/>
              </w:rPr>
            </w:pPr>
          </w:p>
        </w:tc>
      </w:tr>
      <w:tr w14:paraId="6F8B6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jc w:val="center"/>
        </w:trPr>
        <w:tc>
          <w:tcPr>
            <w:tcW w:w="0" w:type="auto"/>
            <w:vMerge w:val="continue"/>
            <w:vAlign w:val="center"/>
          </w:tcPr>
          <w:p w14:paraId="4160DE5F">
            <w:pPr>
              <w:jc w:val="center"/>
              <w:rPr>
                <w:rFonts w:hint="eastAsia" w:ascii="宋体" w:hAnsi="宋体" w:cs="宋体"/>
                <w:bCs/>
                <w:color w:val="auto"/>
                <w:szCs w:val="21"/>
                <w:highlight w:val="none"/>
              </w:rPr>
            </w:pPr>
          </w:p>
        </w:tc>
        <w:tc>
          <w:tcPr>
            <w:tcW w:w="0" w:type="auto"/>
          </w:tcPr>
          <w:p w14:paraId="3C3FB10A">
            <w:pPr>
              <w:rPr>
                <w:rFonts w:hint="eastAsia" w:ascii="宋体" w:hAnsi="宋体" w:cs="宋体"/>
                <w:bCs/>
                <w:color w:val="auto"/>
                <w:szCs w:val="21"/>
                <w:highlight w:val="none"/>
              </w:rPr>
            </w:pPr>
            <w:r>
              <w:rPr>
                <w:rFonts w:hint="eastAsia" w:ascii="宋体" w:hAnsi="宋体" w:cs="宋体"/>
                <w:bCs/>
                <w:color w:val="auto"/>
                <w:szCs w:val="21"/>
                <w:highlight w:val="none"/>
              </w:rPr>
              <w:t>4.禁止穿工作服进入食堂就餐</w:t>
            </w:r>
          </w:p>
        </w:tc>
        <w:tc>
          <w:tcPr>
            <w:tcW w:w="0" w:type="auto"/>
            <w:vMerge w:val="continue"/>
            <w:vAlign w:val="center"/>
          </w:tcPr>
          <w:p w14:paraId="72778DE5">
            <w:pPr>
              <w:jc w:val="center"/>
              <w:rPr>
                <w:rFonts w:hint="eastAsia" w:ascii="宋体" w:hAnsi="宋体" w:cs="宋体"/>
                <w:bCs/>
                <w:color w:val="auto"/>
                <w:szCs w:val="21"/>
                <w:highlight w:val="none"/>
              </w:rPr>
            </w:pPr>
          </w:p>
        </w:tc>
      </w:tr>
      <w:tr w14:paraId="45794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jc w:val="center"/>
        </w:trPr>
        <w:tc>
          <w:tcPr>
            <w:tcW w:w="0" w:type="auto"/>
            <w:vMerge w:val="continue"/>
            <w:vAlign w:val="center"/>
          </w:tcPr>
          <w:p w14:paraId="52BCEAE4">
            <w:pPr>
              <w:jc w:val="center"/>
              <w:rPr>
                <w:rFonts w:hint="eastAsia" w:ascii="宋体" w:hAnsi="宋体" w:cs="宋体"/>
                <w:bCs/>
                <w:color w:val="auto"/>
                <w:szCs w:val="21"/>
                <w:highlight w:val="none"/>
              </w:rPr>
            </w:pPr>
          </w:p>
        </w:tc>
        <w:tc>
          <w:tcPr>
            <w:tcW w:w="0" w:type="auto"/>
          </w:tcPr>
          <w:p w14:paraId="348C0146">
            <w:pPr>
              <w:rPr>
                <w:rFonts w:hint="eastAsia" w:ascii="宋体" w:hAnsi="宋体" w:cs="宋体"/>
                <w:bCs/>
                <w:color w:val="auto"/>
                <w:szCs w:val="21"/>
                <w:highlight w:val="none"/>
              </w:rPr>
            </w:pPr>
            <w:r>
              <w:rPr>
                <w:rFonts w:hint="eastAsia" w:ascii="宋体" w:hAnsi="宋体" w:cs="宋体"/>
                <w:bCs/>
                <w:color w:val="auto"/>
                <w:szCs w:val="21"/>
                <w:highlight w:val="none"/>
              </w:rPr>
              <w:t>5.禁止在工作区域饮食、吸烟、储存食品等</w:t>
            </w:r>
          </w:p>
        </w:tc>
        <w:tc>
          <w:tcPr>
            <w:tcW w:w="0" w:type="auto"/>
            <w:vMerge w:val="continue"/>
            <w:vAlign w:val="center"/>
          </w:tcPr>
          <w:p w14:paraId="7A19A91A">
            <w:pPr>
              <w:jc w:val="center"/>
              <w:rPr>
                <w:rFonts w:hint="eastAsia" w:ascii="宋体" w:hAnsi="宋体" w:cs="宋体"/>
                <w:bCs/>
                <w:color w:val="auto"/>
                <w:szCs w:val="21"/>
                <w:highlight w:val="none"/>
              </w:rPr>
            </w:pPr>
          </w:p>
        </w:tc>
      </w:tr>
      <w:tr w14:paraId="3337E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 w:hRule="atLeast"/>
          <w:jc w:val="center"/>
        </w:trPr>
        <w:tc>
          <w:tcPr>
            <w:tcW w:w="0" w:type="auto"/>
            <w:vMerge w:val="continue"/>
            <w:vAlign w:val="center"/>
          </w:tcPr>
          <w:p w14:paraId="5799666A">
            <w:pPr>
              <w:jc w:val="center"/>
              <w:rPr>
                <w:rFonts w:hint="eastAsia" w:ascii="宋体" w:hAnsi="宋体" w:cs="宋体"/>
                <w:bCs/>
                <w:color w:val="auto"/>
                <w:szCs w:val="21"/>
                <w:highlight w:val="none"/>
              </w:rPr>
            </w:pPr>
          </w:p>
        </w:tc>
        <w:tc>
          <w:tcPr>
            <w:tcW w:w="0" w:type="auto"/>
            <w:vAlign w:val="center"/>
          </w:tcPr>
          <w:p w14:paraId="32FADA9B">
            <w:pPr>
              <w:rPr>
                <w:rFonts w:hint="eastAsia" w:ascii="宋体" w:hAnsi="宋体" w:cs="宋体"/>
                <w:bCs/>
                <w:color w:val="auto"/>
                <w:szCs w:val="21"/>
                <w:highlight w:val="none"/>
              </w:rPr>
            </w:pPr>
            <w:r>
              <w:rPr>
                <w:rFonts w:hint="eastAsia" w:ascii="宋体" w:hAnsi="宋体" w:cs="宋体"/>
                <w:bCs/>
                <w:color w:val="auto"/>
                <w:szCs w:val="21"/>
                <w:highlight w:val="none"/>
              </w:rPr>
              <w:t>（二）个人防护</w:t>
            </w:r>
          </w:p>
        </w:tc>
        <w:tc>
          <w:tcPr>
            <w:tcW w:w="0" w:type="auto"/>
            <w:vMerge w:val="restart"/>
            <w:vAlign w:val="center"/>
          </w:tcPr>
          <w:p w14:paraId="5CA14DF0">
            <w:pPr>
              <w:jc w:val="center"/>
              <w:rPr>
                <w:rFonts w:hint="eastAsia" w:ascii="宋体" w:hAnsi="宋体" w:cs="宋体"/>
                <w:bCs/>
                <w:color w:val="auto"/>
                <w:szCs w:val="21"/>
                <w:highlight w:val="none"/>
              </w:rPr>
            </w:pPr>
            <w:r>
              <w:rPr>
                <w:rFonts w:hint="eastAsia" w:ascii="宋体" w:hAnsi="宋体" w:cs="宋体"/>
                <w:bCs/>
                <w:color w:val="auto"/>
                <w:szCs w:val="21"/>
                <w:highlight w:val="none"/>
              </w:rPr>
              <w:t>3</w:t>
            </w:r>
          </w:p>
        </w:tc>
      </w:tr>
      <w:tr w14:paraId="4B8D1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0" w:type="auto"/>
            <w:vMerge w:val="continue"/>
            <w:vAlign w:val="center"/>
          </w:tcPr>
          <w:p w14:paraId="0233B358">
            <w:pPr>
              <w:jc w:val="center"/>
              <w:rPr>
                <w:rFonts w:hint="eastAsia" w:ascii="宋体" w:hAnsi="宋体" w:cs="宋体"/>
                <w:bCs/>
                <w:color w:val="auto"/>
                <w:szCs w:val="21"/>
                <w:highlight w:val="none"/>
              </w:rPr>
            </w:pPr>
          </w:p>
        </w:tc>
        <w:tc>
          <w:tcPr>
            <w:tcW w:w="0" w:type="auto"/>
          </w:tcPr>
          <w:p w14:paraId="1473DF6F">
            <w:pPr>
              <w:rPr>
                <w:rFonts w:hint="eastAsia" w:ascii="宋体" w:hAnsi="宋体" w:cs="宋体"/>
                <w:bCs/>
                <w:color w:val="auto"/>
                <w:szCs w:val="21"/>
                <w:highlight w:val="none"/>
              </w:rPr>
            </w:pPr>
            <w:r>
              <w:rPr>
                <w:rFonts w:hint="eastAsia" w:ascii="宋体" w:hAnsi="宋体" w:cs="宋体"/>
                <w:bCs/>
                <w:color w:val="auto"/>
                <w:szCs w:val="21"/>
                <w:highlight w:val="none"/>
              </w:rPr>
              <w:t>1.工人做好个人防护：工作过程中穿工作服，根据实际工作情况需要佩戴口罩、手套等防护用品</w:t>
            </w:r>
          </w:p>
        </w:tc>
        <w:tc>
          <w:tcPr>
            <w:tcW w:w="0" w:type="auto"/>
            <w:vMerge w:val="continue"/>
            <w:vAlign w:val="center"/>
          </w:tcPr>
          <w:p w14:paraId="3C4F5C1A">
            <w:pPr>
              <w:jc w:val="center"/>
              <w:rPr>
                <w:rFonts w:hint="eastAsia" w:ascii="宋体" w:hAnsi="宋体" w:cs="宋体"/>
                <w:bCs/>
                <w:color w:val="auto"/>
                <w:szCs w:val="21"/>
                <w:highlight w:val="none"/>
              </w:rPr>
            </w:pPr>
          </w:p>
        </w:tc>
      </w:tr>
      <w:tr w14:paraId="44D65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 w:hRule="atLeast"/>
          <w:jc w:val="center"/>
        </w:trPr>
        <w:tc>
          <w:tcPr>
            <w:tcW w:w="0" w:type="auto"/>
            <w:vMerge w:val="continue"/>
            <w:vAlign w:val="center"/>
          </w:tcPr>
          <w:p w14:paraId="7E304A50">
            <w:pPr>
              <w:jc w:val="center"/>
              <w:rPr>
                <w:rFonts w:hint="eastAsia" w:ascii="宋体" w:hAnsi="宋体" w:cs="宋体"/>
                <w:bCs/>
                <w:color w:val="auto"/>
                <w:szCs w:val="21"/>
                <w:highlight w:val="none"/>
              </w:rPr>
            </w:pPr>
          </w:p>
        </w:tc>
        <w:tc>
          <w:tcPr>
            <w:tcW w:w="0" w:type="auto"/>
          </w:tcPr>
          <w:p w14:paraId="1D9FE4F6">
            <w:pPr>
              <w:rPr>
                <w:rFonts w:hint="eastAsia" w:ascii="宋体" w:hAnsi="宋体" w:cs="宋体"/>
                <w:bCs/>
                <w:color w:val="auto"/>
                <w:szCs w:val="21"/>
                <w:highlight w:val="none"/>
              </w:rPr>
            </w:pPr>
            <w:r>
              <w:rPr>
                <w:rFonts w:hint="eastAsia" w:ascii="宋体" w:hAnsi="宋体" w:cs="宋体"/>
                <w:bCs/>
                <w:color w:val="auto"/>
                <w:szCs w:val="21"/>
                <w:highlight w:val="none"/>
              </w:rPr>
              <w:t>2.掌握七步洗手法；严格执行手卫生</w:t>
            </w:r>
          </w:p>
        </w:tc>
        <w:tc>
          <w:tcPr>
            <w:tcW w:w="0" w:type="auto"/>
            <w:vMerge w:val="continue"/>
            <w:vAlign w:val="center"/>
          </w:tcPr>
          <w:p w14:paraId="1A1F7BA0">
            <w:pPr>
              <w:jc w:val="center"/>
              <w:rPr>
                <w:rFonts w:hint="eastAsia" w:ascii="宋体" w:hAnsi="宋体" w:cs="宋体"/>
                <w:bCs/>
                <w:color w:val="auto"/>
                <w:szCs w:val="21"/>
                <w:highlight w:val="none"/>
              </w:rPr>
            </w:pPr>
          </w:p>
        </w:tc>
      </w:tr>
      <w:tr w14:paraId="76BA6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 w:hRule="atLeast"/>
          <w:jc w:val="center"/>
        </w:trPr>
        <w:tc>
          <w:tcPr>
            <w:tcW w:w="0" w:type="auto"/>
            <w:vMerge w:val="continue"/>
            <w:vAlign w:val="center"/>
          </w:tcPr>
          <w:p w14:paraId="6EB3F13A">
            <w:pPr>
              <w:jc w:val="center"/>
              <w:rPr>
                <w:rFonts w:hint="eastAsia" w:ascii="宋体" w:hAnsi="宋体" w:cs="宋体"/>
                <w:bCs/>
                <w:color w:val="auto"/>
                <w:szCs w:val="21"/>
                <w:highlight w:val="none"/>
              </w:rPr>
            </w:pPr>
          </w:p>
        </w:tc>
        <w:tc>
          <w:tcPr>
            <w:tcW w:w="0" w:type="auto"/>
          </w:tcPr>
          <w:p w14:paraId="083A3177">
            <w:pPr>
              <w:rPr>
                <w:rFonts w:hint="eastAsia" w:ascii="宋体" w:hAnsi="宋体" w:cs="宋体"/>
                <w:bCs/>
                <w:color w:val="auto"/>
                <w:szCs w:val="21"/>
                <w:highlight w:val="none"/>
              </w:rPr>
            </w:pPr>
            <w:r>
              <w:rPr>
                <w:rFonts w:hint="eastAsia" w:ascii="宋体" w:hAnsi="宋体" w:cs="宋体"/>
                <w:bCs/>
                <w:color w:val="auto"/>
                <w:szCs w:val="21"/>
                <w:highlight w:val="none"/>
              </w:rPr>
              <w:t>3.掌握锐器伤处理流程</w:t>
            </w:r>
          </w:p>
        </w:tc>
        <w:tc>
          <w:tcPr>
            <w:tcW w:w="0" w:type="auto"/>
            <w:vMerge w:val="continue"/>
            <w:vAlign w:val="center"/>
          </w:tcPr>
          <w:p w14:paraId="3B884B38">
            <w:pPr>
              <w:jc w:val="center"/>
              <w:rPr>
                <w:rFonts w:hint="eastAsia" w:ascii="宋体" w:hAnsi="宋体" w:cs="宋体"/>
                <w:bCs/>
                <w:color w:val="auto"/>
                <w:szCs w:val="21"/>
                <w:highlight w:val="none"/>
              </w:rPr>
            </w:pPr>
          </w:p>
        </w:tc>
      </w:tr>
      <w:tr w14:paraId="25E40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0" w:type="auto"/>
            <w:vMerge w:val="continue"/>
            <w:vAlign w:val="center"/>
          </w:tcPr>
          <w:p w14:paraId="67AF904B">
            <w:pPr>
              <w:jc w:val="center"/>
              <w:rPr>
                <w:rFonts w:hint="eastAsia" w:ascii="宋体" w:hAnsi="宋体" w:cs="宋体"/>
                <w:bCs/>
                <w:color w:val="auto"/>
                <w:szCs w:val="21"/>
                <w:highlight w:val="none"/>
              </w:rPr>
            </w:pPr>
          </w:p>
        </w:tc>
        <w:tc>
          <w:tcPr>
            <w:tcW w:w="0" w:type="auto"/>
          </w:tcPr>
          <w:p w14:paraId="553F73D2">
            <w:pPr>
              <w:rPr>
                <w:rFonts w:hint="eastAsia" w:ascii="宋体" w:hAnsi="宋体" w:cs="宋体"/>
                <w:bCs/>
                <w:color w:val="auto"/>
                <w:szCs w:val="21"/>
                <w:highlight w:val="none"/>
              </w:rPr>
            </w:pPr>
            <w:r>
              <w:rPr>
                <w:rFonts w:hint="eastAsia" w:ascii="宋体" w:hAnsi="宋体" w:cs="宋体"/>
                <w:bCs/>
                <w:color w:val="auto"/>
                <w:szCs w:val="21"/>
                <w:highlight w:val="none"/>
              </w:rPr>
              <w:t>4.发生职业暴露及时报告相关负责人，并填写登记表交院感处</w:t>
            </w:r>
          </w:p>
        </w:tc>
        <w:tc>
          <w:tcPr>
            <w:tcW w:w="0" w:type="auto"/>
            <w:vMerge w:val="continue"/>
            <w:vAlign w:val="center"/>
          </w:tcPr>
          <w:p w14:paraId="7E4B32AD">
            <w:pPr>
              <w:jc w:val="center"/>
              <w:rPr>
                <w:rFonts w:hint="eastAsia" w:ascii="宋体" w:hAnsi="宋体" w:cs="宋体"/>
                <w:bCs/>
                <w:color w:val="auto"/>
                <w:szCs w:val="21"/>
                <w:highlight w:val="none"/>
              </w:rPr>
            </w:pPr>
          </w:p>
        </w:tc>
      </w:tr>
      <w:tr w14:paraId="5847E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 w:hRule="atLeast"/>
          <w:jc w:val="center"/>
        </w:trPr>
        <w:tc>
          <w:tcPr>
            <w:tcW w:w="0" w:type="auto"/>
            <w:vMerge w:val="continue"/>
            <w:vAlign w:val="center"/>
          </w:tcPr>
          <w:p w14:paraId="38C2B193">
            <w:pPr>
              <w:jc w:val="center"/>
              <w:rPr>
                <w:rFonts w:hint="eastAsia" w:ascii="宋体" w:hAnsi="宋体" w:cs="宋体"/>
                <w:bCs/>
                <w:color w:val="auto"/>
                <w:szCs w:val="21"/>
                <w:highlight w:val="none"/>
              </w:rPr>
            </w:pPr>
          </w:p>
        </w:tc>
        <w:tc>
          <w:tcPr>
            <w:tcW w:w="0" w:type="auto"/>
            <w:vAlign w:val="center"/>
          </w:tcPr>
          <w:p w14:paraId="20233643">
            <w:pPr>
              <w:rPr>
                <w:rFonts w:hint="eastAsia" w:ascii="宋体" w:hAnsi="宋体" w:cs="宋体"/>
                <w:bCs/>
                <w:color w:val="auto"/>
                <w:szCs w:val="21"/>
                <w:highlight w:val="none"/>
              </w:rPr>
            </w:pPr>
            <w:r>
              <w:rPr>
                <w:rFonts w:hint="eastAsia" w:ascii="宋体" w:hAnsi="宋体" w:cs="宋体"/>
                <w:bCs/>
                <w:color w:val="auto"/>
                <w:szCs w:val="21"/>
                <w:highlight w:val="none"/>
              </w:rPr>
              <w:t>（三）环境消杀</w:t>
            </w:r>
          </w:p>
        </w:tc>
        <w:tc>
          <w:tcPr>
            <w:tcW w:w="0" w:type="auto"/>
            <w:vMerge w:val="restart"/>
            <w:vAlign w:val="center"/>
          </w:tcPr>
          <w:p w14:paraId="01E5645D">
            <w:pPr>
              <w:jc w:val="center"/>
              <w:rPr>
                <w:rFonts w:hint="eastAsia" w:ascii="宋体" w:hAnsi="宋体" w:cs="宋体"/>
                <w:bCs/>
                <w:color w:val="auto"/>
                <w:szCs w:val="21"/>
                <w:highlight w:val="none"/>
              </w:rPr>
            </w:pPr>
            <w:r>
              <w:rPr>
                <w:rFonts w:hint="eastAsia" w:ascii="宋体" w:hAnsi="宋体" w:cs="宋体"/>
                <w:bCs/>
                <w:color w:val="auto"/>
                <w:szCs w:val="21"/>
                <w:highlight w:val="none"/>
              </w:rPr>
              <w:t>3</w:t>
            </w:r>
          </w:p>
        </w:tc>
      </w:tr>
      <w:tr w14:paraId="03283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0" w:type="auto"/>
            <w:vMerge w:val="continue"/>
            <w:vAlign w:val="center"/>
          </w:tcPr>
          <w:p w14:paraId="58FD1882">
            <w:pPr>
              <w:jc w:val="center"/>
              <w:rPr>
                <w:rFonts w:hint="eastAsia" w:ascii="宋体" w:hAnsi="宋体" w:cs="宋体"/>
                <w:bCs/>
                <w:color w:val="auto"/>
                <w:szCs w:val="21"/>
                <w:highlight w:val="none"/>
              </w:rPr>
            </w:pPr>
          </w:p>
        </w:tc>
        <w:tc>
          <w:tcPr>
            <w:tcW w:w="0" w:type="auto"/>
          </w:tcPr>
          <w:p w14:paraId="00A21CCE">
            <w:pPr>
              <w:rPr>
                <w:rFonts w:hint="eastAsia" w:ascii="宋体" w:hAnsi="宋体" w:cs="宋体"/>
                <w:bCs/>
                <w:color w:val="auto"/>
                <w:szCs w:val="21"/>
                <w:highlight w:val="none"/>
              </w:rPr>
            </w:pPr>
            <w:r>
              <w:rPr>
                <w:rFonts w:hint="eastAsia" w:ascii="宋体" w:hAnsi="宋体" w:cs="宋体"/>
                <w:bCs/>
                <w:color w:val="auto"/>
                <w:szCs w:val="21"/>
                <w:highlight w:val="none"/>
              </w:rPr>
              <w:t>1.每天按规定对门诊等地进行消杀工作：按照消杀的相关操作程序进行，消杀后保持地面墙面台面等清洁干燥</w:t>
            </w:r>
          </w:p>
        </w:tc>
        <w:tc>
          <w:tcPr>
            <w:tcW w:w="0" w:type="auto"/>
            <w:vMerge w:val="continue"/>
            <w:vAlign w:val="center"/>
          </w:tcPr>
          <w:p w14:paraId="6637BBB0">
            <w:pPr>
              <w:jc w:val="center"/>
              <w:rPr>
                <w:rFonts w:hint="eastAsia" w:ascii="宋体" w:hAnsi="宋体" w:cs="宋体"/>
                <w:bCs/>
                <w:color w:val="auto"/>
                <w:szCs w:val="21"/>
                <w:highlight w:val="none"/>
              </w:rPr>
            </w:pPr>
          </w:p>
        </w:tc>
      </w:tr>
      <w:tr w14:paraId="2F2D2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0" w:type="auto"/>
            <w:vMerge w:val="continue"/>
            <w:vAlign w:val="center"/>
          </w:tcPr>
          <w:p w14:paraId="39299AFA">
            <w:pPr>
              <w:jc w:val="center"/>
              <w:rPr>
                <w:rFonts w:hint="eastAsia" w:ascii="宋体" w:hAnsi="宋体" w:cs="宋体"/>
                <w:bCs/>
                <w:color w:val="auto"/>
                <w:szCs w:val="21"/>
                <w:highlight w:val="none"/>
              </w:rPr>
            </w:pPr>
          </w:p>
        </w:tc>
        <w:tc>
          <w:tcPr>
            <w:tcW w:w="0" w:type="auto"/>
          </w:tcPr>
          <w:p w14:paraId="0C2B4849">
            <w:pPr>
              <w:rPr>
                <w:rFonts w:hint="eastAsia" w:ascii="宋体" w:hAnsi="宋体" w:cs="宋体"/>
                <w:bCs/>
                <w:color w:val="auto"/>
                <w:szCs w:val="21"/>
                <w:highlight w:val="none"/>
              </w:rPr>
            </w:pPr>
            <w:r>
              <w:rPr>
                <w:rFonts w:hint="eastAsia" w:ascii="宋体" w:hAnsi="宋体" w:cs="宋体"/>
                <w:bCs/>
                <w:color w:val="auto"/>
                <w:szCs w:val="21"/>
                <w:highlight w:val="none"/>
              </w:rPr>
              <w:t>2.门诊、医技、药房、挂号处、大厅、走廊的地面每天用500mg/L含氯消毒液消杀；感染高风险部门如检验科每天用1000mg/L含氯消毒液进行消毒（拖地或擦拭物表）；遇传染病人时按相关要求进行环境消杀</w:t>
            </w:r>
          </w:p>
        </w:tc>
        <w:tc>
          <w:tcPr>
            <w:tcW w:w="0" w:type="auto"/>
            <w:vMerge w:val="continue"/>
            <w:vAlign w:val="center"/>
          </w:tcPr>
          <w:p w14:paraId="7380CC5E">
            <w:pPr>
              <w:jc w:val="center"/>
              <w:rPr>
                <w:rFonts w:hint="eastAsia" w:ascii="宋体" w:hAnsi="宋体" w:cs="宋体"/>
                <w:bCs/>
                <w:color w:val="auto"/>
                <w:szCs w:val="21"/>
                <w:highlight w:val="none"/>
              </w:rPr>
            </w:pPr>
          </w:p>
        </w:tc>
      </w:tr>
      <w:tr w14:paraId="350B7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0" w:type="auto"/>
            <w:vMerge w:val="continue"/>
            <w:vAlign w:val="center"/>
          </w:tcPr>
          <w:p w14:paraId="72310C9D">
            <w:pPr>
              <w:jc w:val="center"/>
              <w:rPr>
                <w:rFonts w:hint="eastAsia" w:ascii="宋体" w:hAnsi="宋体" w:cs="宋体"/>
                <w:bCs/>
                <w:color w:val="auto"/>
                <w:szCs w:val="21"/>
                <w:highlight w:val="none"/>
              </w:rPr>
            </w:pPr>
          </w:p>
        </w:tc>
        <w:tc>
          <w:tcPr>
            <w:tcW w:w="0" w:type="auto"/>
          </w:tcPr>
          <w:p w14:paraId="5EBDE077">
            <w:pPr>
              <w:rPr>
                <w:rFonts w:hint="eastAsia" w:ascii="宋体" w:hAnsi="宋体" w:cs="宋体"/>
                <w:bCs/>
                <w:color w:val="auto"/>
                <w:szCs w:val="21"/>
                <w:highlight w:val="none"/>
              </w:rPr>
            </w:pPr>
            <w:r>
              <w:rPr>
                <w:rFonts w:hint="eastAsia" w:ascii="宋体" w:hAnsi="宋体" w:cs="宋体"/>
                <w:bCs/>
                <w:color w:val="auto"/>
                <w:szCs w:val="21"/>
                <w:highlight w:val="none"/>
              </w:rPr>
              <w:t>3.地面等遇血（体）液污染时，先用吸湿材料去除污染物，再用1000mg/L的含氯消毒液作用30min后再清洁</w:t>
            </w:r>
          </w:p>
        </w:tc>
        <w:tc>
          <w:tcPr>
            <w:tcW w:w="0" w:type="auto"/>
            <w:vMerge w:val="continue"/>
            <w:vAlign w:val="center"/>
          </w:tcPr>
          <w:p w14:paraId="355911C5">
            <w:pPr>
              <w:jc w:val="center"/>
              <w:rPr>
                <w:rFonts w:hint="eastAsia" w:ascii="宋体" w:hAnsi="宋体" w:cs="宋体"/>
                <w:bCs/>
                <w:color w:val="auto"/>
                <w:szCs w:val="21"/>
                <w:highlight w:val="none"/>
              </w:rPr>
            </w:pPr>
          </w:p>
        </w:tc>
      </w:tr>
      <w:tr w14:paraId="267D8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0" w:type="auto"/>
            <w:vMerge w:val="continue"/>
            <w:vAlign w:val="center"/>
          </w:tcPr>
          <w:p w14:paraId="13369013">
            <w:pPr>
              <w:jc w:val="center"/>
              <w:rPr>
                <w:rFonts w:hint="eastAsia" w:ascii="宋体" w:hAnsi="宋体" w:cs="宋体"/>
                <w:bCs/>
                <w:color w:val="auto"/>
                <w:szCs w:val="21"/>
                <w:highlight w:val="none"/>
              </w:rPr>
            </w:pPr>
          </w:p>
        </w:tc>
        <w:tc>
          <w:tcPr>
            <w:tcW w:w="0" w:type="auto"/>
          </w:tcPr>
          <w:p w14:paraId="2F41DE41">
            <w:pPr>
              <w:rPr>
                <w:rFonts w:hint="eastAsia" w:ascii="宋体" w:hAnsi="宋体" w:cs="宋体"/>
                <w:bCs/>
                <w:color w:val="auto"/>
                <w:szCs w:val="21"/>
                <w:highlight w:val="none"/>
              </w:rPr>
            </w:pPr>
            <w:r>
              <w:rPr>
                <w:rFonts w:hint="eastAsia" w:ascii="宋体" w:hAnsi="宋体" w:cs="宋体"/>
                <w:bCs/>
                <w:color w:val="auto"/>
                <w:szCs w:val="21"/>
                <w:highlight w:val="none"/>
              </w:rPr>
              <w:t>4.每个拖布和桶水清洁面积不超过20m</w:t>
            </w:r>
            <w:r>
              <w:rPr>
                <w:rFonts w:hint="eastAsia" w:ascii="宋体" w:hAnsi="宋体" w:cs="宋体"/>
                <w:bCs/>
                <w:color w:val="auto"/>
                <w:szCs w:val="21"/>
                <w:highlight w:val="none"/>
                <w:vertAlign w:val="superscript"/>
              </w:rPr>
              <w:t>2</w:t>
            </w:r>
          </w:p>
        </w:tc>
        <w:tc>
          <w:tcPr>
            <w:tcW w:w="0" w:type="auto"/>
            <w:vMerge w:val="continue"/>
            <w:vAlign w:val="center"/>
          </w:tcPr>
          <w:p w14:paraId="0CF823AE">
            <w:pPr>
              <w:jc w:val="center"/>
              <w:rPr>
                <w:rFonts w:hint="eastAsia" w:ascii="宋体" w:hAnsi="宋体" w:cs="宋体"/>
                <w:bCs/>
                <w:color w:val="auto"/>
                <w:szCs w:val="21"/>
                <w:highlight w:val="none"/>
              </w:rPr>
            </w:pPr>
          </w:p>
        </w:tc>
      </w:tr>
      <w:tr w14:paraId="1BBC2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0" w:type="auto"/>
            <w:vMerge w:val="continue"/>
            <w:vAlign w:val="center"/>
          </w:tcPr>
          <w:p w14:paraId="39092691">
            <w:pPr>
              <w:jc w:val="center"/>
              <w:rPr>
                <w:rFonts w:hint="eastAsia" w:ascii="宋体" w:hAnsi="宋体" w:cs="宋体"/>
                <w:bCs/>
                <w:color w:val="auto"/>
                <w:szCs w:val="21"/>
                <w:highlight w:val="none"/>
              </w:rPr>
            </w:pPr>
          </w:p>
        </w:tc>
        <w:tc>
          <w:tcPr>
            <w:tcW w:w="0" w:type="auto"/>
          </w:tcPr>
          <w:p w14:paraId="2F19491E">
            <w:pPr>
              <w:rPr>
                <w:rFonts w:hint="eastAsia" w:ascii="宋体" w:hAnsi="宋体" w:cs="宋体"/>
                <w:bCs/>
                <w:color w:val="auto"/>
                <w:szCs w:val="21"/>
                <w:highlight w:val="none"/>
              </w:rPr>
            </w:pPr>
            <w:r>
              <w:rPr>
                <w:rFonts w:hint="eastAsia" w:ascii="宋体" w:hAnsi="宋体" w:cs="宋体"/>
                <w:bCs/>
                <w:color w:val="auto"/>
                <w:szCs w:val="21"/>
                <w:highlight w:val="none"/>
              </w:rPr>
              <w:t>5.公用垃圾桶表面每天用含氯消毒剂擦拭消杀；垃圾不得堆积过多、过久</w:t>
            </w:r>
          </w:p>
        </w:tc>
        <w:tc>
          <w:tcPr>
            <w:tcW w:w="0" w:type="auto"/>
            <w:vMerge w:val="continue"/>
            <w:vAlign w:val="center"/>
          </w:tcPr>
          <w:p w14:paraId="7816BF77">
            <w:pPr>
              <w:jc w:val="center"/>
              <w:rPr>
                <w:rFonts w:hint="eastAsia" w:ascii="宋体" w:hAnsi="宋体" w:cs="宋体"/>
                <w:bCs/>
                <w:color w:val="auto"/>
                <w:szCs w:val="21"/>
                <w:highlight w:val="none"/>
              </w:rPr>
            </w:pPr>
          </w:p>
        </w:tc>
      </w:tr>
      <w:tr w14:paraId="4E0B1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0" w:type="auto"/>
            <w:vMerge w:val="continue"/>
            <w:vAlign w:val="center"/>
          </w:tcPr>
          <w:p w14:paraId="1B611398">
            <w:pPr>
              <w:jc w:val="center"/>
              <w:rPr>
                <w:rFonts w:hint="eastAsia" w:ascii="宋体" w:hAnsi="宋体" w:cs="宋体"/>
                <w:bCs/>
                <w:color w:val="auto"/>
                <w:szCs w:val="21"/>
                <w:highlight w:val="none"/>
              </w:rPr>
            </w:pPr>
          </w:p>
        </w:tc>
        <w:tc>
          <w:tcPr>
            <w:tcW w:w="0" w:type="auto"/>
          </w:tcPr>
          <w:p w14:paraId="7639661D">
            <w:pPr>
              <w:rPr>
                <w:rFonts w:hint="eastAsia" w:ascii="宋体" w:hAnsi="宋体" w:cs="宋体"/>
                <w:bCs/>
                <w:color w:val="auto"/>
                <w:szCs w:val="21"/>
                <w:highlight w:val="none"/>
              </w:rPr>
            </w:pPr>
            <w:r>
              <w:rPr>
                <w:rFonts w:hint="eastAsia" w:ascii="宋体" w:hAnsi="宋体" w:cs="宋体"/>
                <w:bCs/>
                <w:color w:val="auto"/>
                <w:szCs w:val="21"/>
                <w:highlight w:val="none"/>
              </w:rPr>
              <w:t>6.使用后的拖布在含氯消毒液中浸泡30min后晾干备用；</w:t>
            </w:r>
          </w:p>
        </w:tc>
        <w:tc>
          <w:tcPr>
            <w:tcW w:w="0" w:type="auto"/>
            <w:vMerge w:val="continue"/>
            <w:vAlign w:val="center"/>
          </w:tcPr>
          <w:p w14:paraId="130F53B5">
            <w:pPr>
              <w:jc w:val="center"/>
              <w:rPr>
                <w:rFonts w:hint="eastAsia" w:ascii="宋体" w:hAnsi="宋体" w:cs="宋体"/>
                <w:bCs/>
                <w:color w:val="auto"/>
                <w:szCs w:val="21"/>
                <w:highlight w:val="none"/>
              </w:rPr>
            </w:pPr>
          </w:p>
        </w:tc>
      </w:tr>
      <w:tr w14:paraId="54B15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jc w:val="center"/>
        </w:trPr>
        <w:tc>
          <w:tcPr>
            <w:tcW w:w="0" w:type="auto"/>
            <w:vMerge w:val="continue"/>
            <w:vAlign w:val="center"/>
          </w:tcPr>
          <w:p w14:paraId="19EE8FEA">
            <w:pPr>
              <w:jc w:val="center"/>
              <w:rPr>
                <w:rFonts w:hint="eastAsia" w:ascii="宋体" w:hAnsi="宋体" w:cs="宋体"/>
                <w:bCs/>
                <w:color w:val="auto"/>
                <w:szCs w:val="21"/>
                <w:highlight w:val="none"/>
              </w:rPr>
            </w:pPr>
          </w:p>
        </w:tc>
        <w:tc>
          <w:tcPr>
            <w:tcW w:w="0" w:type="auto"/>
          </w:tcPr>
          <w:p w14:paraId="7013BBAD">
            <w:pPr>
              <w:rPr>
                <w:rFonts w:hint="eastAsia" w:ascii="宋体" w:hAnsi="宋体" w:cs="宋体"/>
                <w:bCs/>
                <w:color w:val="auto"/>
                <w:szCs w:val="21"/>
                <w:highlight w:val="none"/>
              </w:rPr>
            </w:pPr>
            <w:r>
              <w:rPr>
                <w:rFonts w:hint="eastAsia" w:ascii="宋体" w:hAnsi="宋体" w:cs="宋体"/>
                <w:bCs/>
                <w:color w:val="auto"/>
                <w:szCs w:val="21"/>
                <w:highlight w:val="none"/>
              </w:rPr>
              <w:t>7.严格掌握所用消毒物品的使用方法、储存条件、有效期、注意事项，避免发生意外。</w:t>
            </w:r>
          </w:p>
        </w:tc>
        <w:tc>
          <w:tcPr>
            <w:tcW w:w="0" w:type="auto"/>
            <w:vMerge w:val="continue"/>
            <w:vAlign w:val="center"/>
          </w:tcPr>
          <w:p w14:paraId="4013DA7A">
            <w:pPr>
              <w:jc w:val="center"/>
              <w:rPr>
                <w:rFonts w:hint="eastAsia" w:ascii="宋体" w:hAnsi="宋体" w:cs="宋体"/>
                <w:bCs/>
                <w:color w:val="auto"/>
                <w:szCs w:val="21"/>
                <w:highlight w:val="none"/>
              </w:rPr>
            </w:pPr>
          </w:p>
        </w:tc>
      </w:tr>
      <w:tr w14:paraId="400C6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 w:hRule="atLeast"/>
          <w:jc w:val="center"/>
        </w:trPr>
        <w:tc>
          <w:tcPr>
            <w:tcW w:w="0" w:type="auto"/>
            <w:vMerge w:val="continue"/>
            <w:vAlign w:val="center"/>
          </w:tcPr>
          <w:p w14:paraId="31D3FC1F">
            <w:pPr>
              <w:jc w:val="center"/>
              <w:rPr>
                <w:rFonts w:hint="eastAsia" w:ascii="宋体" w:hAnsi="宋体" w:cs="宋体"/>
                <w:bCs/>
                <w:color w:val="auto"/>
                <w:szCs w:val="21"/>
                <w:highlight w:val="none"/>
              </w:rPr>
            </w:pPr>
          </w:p>
        </w:tc>
        <w:tc>
          <w:tcPr>
            <w:tcW w:w="0" w:type="auto"/>
          </w:tcPr>
          <w:p w14:paraId="2C7BEF61">
            <w:pPr>
              <w:rPr>
                <w:rFonts w:hint="eastAsia" w:ascii="宋体" w:hAnsi="宋体" w:cs="宋体"/>
                <w:bCs/>
                <w:color w:val="auto"/>
                <w:szCs w:val="21"/>
                <w:highlight w:val="none"/>
              </w:rPr>
            </w:pPr>
            <w:r>
              <w:rPr>
                <w:rFonts w:hint="eastAsia" w:ascii="宋体" w:hAnsi="宋体" w:cs="宋体"/>
                <w:bCs/>
                <w:color w:val="auto"/>
                <w:szCs w:val="21"/>
                <w:highlight w:val="none"/>
              </w:rPr>
              <w:t>8.正确掌握含氯消毒液的配制方法，相关容器标好刻度标记</w:t>
            </w:r>
          </w:p>
        </w:tc>
        <w:tc>
          <w:tcPr>
            <w:tcW w:w="0" w:type="auto"/>
            <w:vMerge w:val="continue"/>
            <w:vAlign w:val="center"/>
          </w:tcPr>
          <w:p w14:paraId="299B25F8">
            <w:pPr>
              <w:jc w:val="center"/>
              <w:rPr>
                <w:rFonts w:hint="eastAsia" w:ascii="宋体" w:hAnsi="宋体" w:cs="宋体"/>
                <w:bCs/>
                <w:color w:val="auto"/>
                <w:szCs w:val="21"/>
                <w:highlight w:val="none"/>
              </w:rPr>
            </w:pPr>
          </w:p>
        </w:tc>
      </w:tr>
      <w:tr w14:paraId="65798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 w:hRule="atLeast"/>
          <w:jc w:val="center"/>
        </w:trPr>
        <w:tc>
          <w:tcPr>
            <w:tcW w:w="0" w:type="auto"/>
            <w:vMerge w:val="continue"/>
            <w:vAlign w:val="center"/>
          </w:tcPr>
          <w:p w14:paraId="3767D816">
            <w:pPr>
              <w:jc w:val="center"/>
              <w:rPr>
                <w:rFonts w:hint="eastAsia" w:ascii="宋体" w:hAnsi="宋体" w:cs="宋体"/>
                <w:bCs/>
                <w:color w:val="auto"/>
                <w:szCs w:val="21"/>
                <w:highlight w:val="none"/>
              </w:rPr>
            </w:pPr>
          </w:p>
        </w:tc>
        <w:tc>
          <w:tcPr>
            <w:tcW w:w="0" w:type="auto"/>
          </w:tcPr>
          <w:p w14:paraId="25D98E66">
            <w:pPr>
              <w:rPr>
                <w:rFonts w:hint="eastAsia" w:ascii="宋体" w:hAnsi="宋体" w:cs="宋体"/>
                <w:bCs/>
                <w:color w:val="auto"/>
                <w:szCs w:val="21"/>
                <w:highlight w:val="none"/>
              </w:rPr>
            </w:pPr>
            <w:r>
              <w:rPr>
                <w:rFonts w:hint="eastAsia" w:ascii="宋体" w:hAnsi="宋体" w:cs="宋体"/>
                <w:bCs/>
                <w:color w:val="auto"/>
                <w:szCs w:val="21"/>
                <w:highlight w:val="none"/>
              </w:rPr>
              <w:t>9.消杀工具保持整洁</w:t>
            </w:r>
          </w:p>
        </w:tc>
        <w:tc>
          <w:tcPr>
            <w:tcW w:w="0" w:type="auto"/>
            <w:vMerge w:val="continue"/>
            <w:vAlign w:val="center"/>
          </w:tcPr>
          <w:p w14:paraId="2638A0B2">
            <w:pPr>
              <w:jc w:val="center"/>
              <w:rPr>
                <w:rFonts w:hint="eastAsia" w:ascii="宋体" w:hAnsi="宋体" w:cs="宋体"/>
                <w:bCs/>
                <w:color w:val="auto"/>
                <w:szCs w:val="21"/>
                <w:highlight w:val="none"/>
              </w:rPr>
            </w:pPr>
          </w:p>
        </w:tc>
      </w:tr>
      <w:tr w14:paraId="5F46F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 w:hRule="atLeast"/>
          <w:jc w:val="center"/>
        </w:trPr>
        <w:tc>
          <w:tcPr>
            <w:tcW w:w="0" w:type="auto"/>
            <w:vMerge w:val="continue"/>
            <w:vAlign w:val="center"/>
          </w:tcPr>
          <w:p w14:paraId="01E22EFF">
            <w:pPr>
              <w:jc w:val="center"/>
              <w:rPr>
                <w:rFonts w:hint="eastAsia" w:ascii="宋体" w:hAnsi="宋体" w:cs="宋体"/>
                <w:bCs/>
                <w:color w:val="auto"/>
                <w:szCs w:val="21"/>
                <w:highlight w:val="none"/>
              </w:rPr>
            </w:pPr>
          </w:p>
        </w:tc>
        <w:tc>
          <w:tcPr>
            <w:tcW w:w="0" w:type="auto"/>
            <w:vAlign w:val="center"/>
          </w:tcPr>
          <w:p w14:paraId="5D318E94">
            <w:pPr>
              <w:rPr>
                <w:rFonts w:hint="eastAsia" w:ascii="宋体" w:hAnsi="宋体" w:cs="宋体"/>
                <w:bCs/>
                <w:color w:val="auto"/>
                <w:szCs w:val="21"/>
                <w:highlight w:val="none"/>
              </w:rPr>
            </w:pPr>
            <w:r>
              <w:rPr>
                <w:rFonts w:hint="eastAsia" w:ascii="宋体" w:hAnsi="宋体" w:cs="宋体"/>
                <w:bCs/>
                <w:color w:val="auto"/>
                <w:szCs w:val="21"/>
                <w:highlight w:val="none"/>
              </w:rPr>
              <w:t>（四）医疗废物</w:t>
            </w:r>
          </w:p>
        </w:tc>
        <w:tc>
          <w:tcPr>
            <w:tcW w:w="0" w:type="auto"/>
            <w:vMerge w:val="restart"/>
            <w:vAlign w:val="center"/>
          </w:tcPr>
          <w:p w14:paraId="5137A879">
            <w:pPr>
              <w:jc w:val="center"/>
              <w:rPr>
                <w:rFonts w:hint="eastAsia" w:ascii="宋体" w:hAnsi="宋体" w:cs="宋体"/>
                <w:bCs/>
                <w:color w:val="auto"/>
                <w:szCs w:val="21"/>
                <w:highlight w:val="none"/>
              </w:rPr>
            </w:pPr>
            <w:r>
              <w:rPr>
                <w:rFonts w:hint="eastAsia" w:ascii="宋体" w:hAnsi="宋体" w:cs="宋体"/>
                <w:bCs/>
                <w:color w:val="auto"/>
                <w:szCs w:val="21"/>
                <w:highlight w:val="none"/>
              </w:rPr>
              <w:t>3</w:t>
            </w:r>
          </w:p>
        </w:tc>
      </w:tr>
      <w:tr w14:paraId="54BED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jc w:val="center"/>
        </w:trPr>
        <w:tc>
          <w:tcPr>
            <w:tcW w:w="0" w:type="auto"/>
            <w:vMerge w:val="continue"/>
            <w:vAlign w:val="center"/>
          </w:tcPr>
          <w:p w14:paraId="40D42D04">
            <w:pPr>
              <w:jc w:val="center"/>
              <w:rPr>
                <w:rFonts w:hint="eastAsia" w:ascii="宋体" w:hAnsi="宋体" w:cs="宋体"/>
                <w:bCs/>
                <w:color w:val="auto"/>
                <w:szCs w:val="21"/>
                <w:highlight w:val="none"/>
              </w:rPr>
            </w:pPr>
          </w:p>
        </w:tc>
        <w:tc>
          <w:tcPr>
            <w:tcW w:w="0" w:type="auto"/>
          </w:tcPr>
          <w:p w14:paraId="26CFD177">
            <w:pPr>
              <w:rPr>
                <w:rFonts w:hint="eastAsia" w:ascii="宋体" w:hAnsi="宋体" w:cs="宋体"/>
                <w:bCs/>
                <w:color w:val="auto"/>
                <w:szCs w:val="21"/>
                <w:highlight w:val="none"/>
              </w:rPr>
            </w:pPr>
            <w:r>
              <w:rPr>
                <w:rFonts w:hint="eastAsia" w:ascii="宋体" w:hAnsi="宋体" w:cs="宋体"/>
                <w:bCs/>
                <w:color w:val="auto"/>
                <w:szCs w:val="21"/>
                <w:highlight w:val="none"/>
              </w:rPr>
              <w:t>1.运送人员每天按规定线路进病房收取医疗废物</w:t>
            </w:r>
          </w:p>
        </w:tc>
        <w:tc>
          <w:tcPr>
            <w:tcW w:w="0" w:type="auto"/>
            <w:vMerge w:val="continue"/>
            <w:vAlign w:val="center"/>
          </w:tcPr>
          <w:p w14:paraId="0DA381FF">
            <w:pPr>
              <w:jc w:val="center"/>
              <w:rPr>
                <w:rFonts w:hint="eastAsia" w:ascii="宋体" w:hAnsi="宋体" w:cs="宋体"/>
                <w:bCs/>
                <w:color w:val="auto"/>
                <w:szCs w:val="21"/>
                <w:highlight w:val="none"/>
              </w:rPr>
            </w:pPr>
          </w:p>
        </w:tc>
      </w:tr>
      <w:tr w14:paraId="5FA9B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0" w:type="auto"/>
            <w:vMerge w:val="continue"/>
            <w:vAlign w:val="center"/>
          </w:tcPr>
          <w:p w14:paraId="39396F0E">
            <w:pPr>
              <w:jc w:val="center"/>
              <w:rPr>
                <w:rFonts w:hint="eastAsia" w:ascii="宋体" w:hAnsi="宋体" w:cs="宋体"/>
                <w:bCs/>
                <w:color w:val="auto"/>
                <w:szCs w:val="21"/>
                <w:highlight w:val="none"/>
              </w:rPr>
            </w:pPr>
          </w:p>
        </w:tc>
        <w:tc>
          <w:tcPr>
            <w:tcW w:w="0" w:type="auto"/>
          </w:tcPr>
          <w:p w14:paraId="6B665163">
            <w:pPr>
              <w:rPr>
                <w:rFonts w:hint="eastAsia" w:ascii="宋体" w:hAnsi="宋体" w:cs="宋体"/>
                <w:bCs/>
                <w:color w:val="auto"/>
                <w:szCs w:val="21"/>
                <w:highlight w:val="none"/>
              </w:rPr>
            </w:pPr>
            <w:r>
              <w:rPr>
                <w:rFonts w:hint="eastAsia" w:ascii="宋体" w:hAnsi="宋体" w:cs="宋体"/>
                <w:bCs/>
                <w:color w:val="auto"/>
                <w:szCs w:val="21"/>
                <w:highlight w:val="none"/>
              </w:rPr>
              <w:t>2.运送人员与医疗废物产生科室当面称重交接，双方签字</w:t>
            </w:r>
          </w:p>
        </w:tc>
        <w:tc>
          <w:tcPr>
            <w:tcW w:w="0" w:type="auto"/>
            <w:vMerge w:val="continue"/>
            <w:vAlign w:val="center"/>
          </w:tcPr>
          <w:p w14:paraId="4F4D32FB">
            <w:pPr>
              <w:jc w:val="center"/>
              <w:rPr>
                <w:rFonts w:hint="eastAsia" w:ascii="宋体" w:hAnsi="宋体" w:cs="宋体"/>
                <w:bCs/>
                <w:color w:val="auto"/>
                <w:szCs w:val="21"/>
                <w:highlight w:val="none"/>
              </w:rPr>
            </w:pPr>
          </w:p>
        </w:tc>
      </w:tr>
      <w:tr w14:paraId="07C91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0" w:type="auto"/>
            <w:vMerge w:val="continue"/>
            <w:vAlign w:val="center"/>
          </w:tcPr>
          <w:p w14:paraId="0CC39020">
            <w:pPr>
              <w:jc w:val="center"/>
              <w:rPr>
                <w:rFonts w:hint="eastAsia" w:ascii="宋体" w:hAnsi="宋体" w:cs="宋体"/>
                <w:bCs/>
                <w:color w:val="auto"/>
                <w:szCs w:val="21"/>
                <w:highlight w:val="none"/>
              </w:rPr>
            </w:pPr>
          </w:p>
        </w:tc>
        <w:tc>
          <w:tcPr>
            <w:tcW w:w="0" w:type="auto"/>
          </w:tcPr>
          <w:p w14:paraId="457CE188">
            <w:pPr>
              <w:rPr>
                <w:rFonts w:hint="eastAsia" w:ascii="宋体" w:hAnsi="宋体" w:cs="宋体"/>
                <w:bCs/>
                <w:color w:val="auto"/>
                <w:szCs w:val="21"/>
                <w:highlight w:val="none"/>
              </w:rPr>
            </w:pPr>
            <w:r>
              <w:rPr>
                <w:rFonts w:hint="eastAsia" w:ascii="宋体" w:hAnsi="宋体" w:cs="宋体"/>
                <w:bCs/>
                <w:color w:val="auto"/>
                <w:szCs w:val="21"/>
                <w:highlight w:val="none"/>
              </w:rPr>
              <w:t>3.运送人员在运送医疗废物前，应当检查包装物或容器的标识、标签及封口是否符合要求，不得将不符合要求的医疗废物运送至暂存处。</w:t>
            </w:r>
          </w:p>
        </w:tc>
        <w:tc>
          <w:tcPr>
            <w:tcW w:w="0" w:type="auto"/>
            <w:vMerge w:val="continue"/>
            <w:vAlign w:val="center"/>
          </w:tcPr>
          <w:p w14:paraId="62E50A4D">
            <w:pPr>
              <w:jc w:val="center"/>
              <w:rPr>
                <w:rFonts w:hint="eastAsia" w:ascii="宋体" w:hAnsi="宋体" w:cs="宋体"/>
                <w:bCs/>
                <w:color w:val="auto"/>
                <w:szCs w:val="21"/>
                <w:highlight w:val="none"/>
              </w:rPr>
            </w:pPr>
          </w:p>
        </w:tc>
      </w:tr>
      <w:tr w14:paraId="73BB0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 w:hRule="atLeast"/>
          <w:jc w:val="center"/>
        </w:trPr>
        <w:tc>
          <w:tcPr>
            <w:tcW w:w="0" w:type="auto"/>
            <w:vMerge w:val="continue"/>
            <w:vAlign w:val="center"/>
          </w:tcPr>
          <w:p w14:paraId="492CA8FD">
            <w:pPr>
              <w:jc w:val="center"/>
              <w:rPr>
                <w:rFonts w:hint="eastAsia" w:ascii="宋体" w:hAnsi="宋体" w:cs="宋体"/>
                <w:bCs/>
                <w:color w:val="auto"/>
                <w:szCs w:val="21"/>
                <w:highlight w:val="none"/>
              </w:rPr>
            </w:pPr>
          </w:p>
        </w:tc>
        <w:tc>
          <w:tcPr>
            <w:tcW w:w="0" w:type="auto"/>
          </w:tcPr>
          <w:p w14:paraId="515BCDB2">
            <w:pPr>
              <w:rPr>
                <w:rFonts w:hint="eastAsia" w:ascii="宋体" w:hAnsi="宋体" w:cs="宋体"/>
                <w:bCs/>
                <w:color w:val="auto"/>
                <w:szCs w:val="21"/>
                <w:highlight w:val="none"/>
              </w:rPr>
            </w:pPr>
            <w:r>
              <w:rPr>
                <w:rFonts w:hint="eastAsia" w:ascii="宋体" w:hAnsi="宋体" w:cs="宋体"/>
                <w:bCs/>
                <w:color w:val="auto"/>
                <w:szCs w:val="21"/>
                <w:highlight w:val="none"/>
              </w:rPr>
              <w:t>4.运送人员在运送医疗废物时，应当防止包装物或容器破损包装物或容器破损和医疗废物流失、泄露和扩散，并防止医疗废物直接接触身体</w:t>
            </w:r>
          </w:p>
        </w:tc>
        <w:tc>
          <w:tcPr>
            <w:tcW w:w="0" w:type="auto"/>
            <w:vMerge w:val="continue"/>
            <w:vAlign w:val="center"/>
          </w:tcPr>
          <w:p w14:paraId="49EF130F">
            <w:pPr>
              <w:jc w:val="center"/>
              <w:rPr>
                <w:rFonts w:hint="eastAsia" w:ascii="宋体" w:hAnsi="宋体" w:cs="宋体"/>
                <w:bCs/>
                <w:color w:val="auto"/>
                <w:szCs w:val="21"/>
                <w:highlight w:val="none"/>
              </w:rPr>
            </w:pPr>
          </w:p>
        </w:tc>
      </w:tr>
      <w:tr w14:paraId="6ABE4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0" w:type="auto"/>
            <w:vMerge w:val="continue"/>
            <w:vAlign w:val="center"/>
          </w:tcPr>
          <w:p w14:paraId="69265B9F">
            <w:pPr>
              <w:jc w:val="center"/>
              <w:rPr>
                <w:rFonts w:hint="eastAsia" w:ascii="宋体" w:hAnsi="宋体" w:cs="宋体"/>
                <w:bCs/>
                <w:color w:val="auto"/>
                <w:szCs w:val="21"/>
                <w:highlight w:val="none"/>
              </w:rPr>
            </w:pPr>
          </w:p>
        </w:tc>
        <w:tc>
          <w:tcPr>
            <w:tcW w:w="0" w:type="auto"/>
          </w:tcPr>
          <w:p w14:paraId="7F95C630">
            <w:pPr>
              <w:rPr>
                <w:rFonts w:hint="eastAsia" w:ascii="宋体" w:hAnsi="宋体" w:cs="宋体"/>
                <w:bCs/>
                <w:color w:val="auto"/>
                <w:szCs w:val="21"/>
                <w:highlight w:val="none"/>
              </w:rPr>
            </w:pPr>
            <w:r>
              <w:rPr>
                <w:rFonts w:hint="eastAsia" w:ascii="宋体" w:hAnsi="宋体" w:cs="宋体"/>
                <w:bCs/>
                <w:color w:val="auto"/>
                <w:szCs w:val="21"/>
                <w:highlight w:val="none"/>
              </w:rPr>
              <w:t>5.使用医疗废物专用运送车运送医疗废物；每天运送完毕后，对运送车、暂存地进行清洁与消毒，并做好相关记录</w:t>
            </w:r>
          </w:p>
        </w:tc>
        <w:tc>
          <w:tcPr>
            <w:tcW w:w="0" w:type="auto"/>
            <w:vMerge w:val="continue"/>
            <w:vAlign w:val="center"/>
          </w:tcPr>
          <w:p w14:paraId="2FE12111">
            <w:pPr>
              <w:jc w:val="center"/>
              <w:rPr>
                <w:rFonts w:hint="eastAsia" w:ascii="宋体" w:hAnsi="宋体" w:cs="宋体"/>
                <w:bCs/>
                <w:color w:val="auto"/>
                <w:szCs w:val="21"/>
                <w:highlight w:val="none"/>
              </w:rPr>
            </w:pPr>
          </w:p>
        </w:tc>
      </w:tr>
      <w:tr w14:paraId="16535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vMerge w:val="continue"/>
            <w:vAlign w:val="center"/>
          </w:tcPr>
          <w:p w14:paraId="208E144E">
            <w:pPr>
              <w:jc w:val="center"/>
              <w:rPr>
                <w:rFonts w:hint="eastAsia" w:ascii="宋体" w:hAnsi="宋体" w:cs="宋体"/>
                <w:bCs/>
                <w:color w:val="auto"/>
                <w:szCs w:val="21"/>
                <w:highlight w:val="none"/>
              </w:rPr>
            </w:pPr>
          </w:p>
        </w:tc>
        <w:tc>
          <w:tcPr>
            <w:tcW w:w="0" w:type="auto"/>
          </w:tcPr>
          <w:p w14:paraId="05ADC171">
            <w:pPr>
              <w:rPr>
                <w:rFonts w:hint="eastAsia" w:ascii="宋体" w:hAnsi="宋体" w:cs="宋体"/>
                <w:bCs/>
                <w:color w:val="auto"/>
                <w:szCs w:val="21"/>
                <w:highlight w:val="none"/>
              </w:rPr>
            </w:pPr>
            <w:r>
              <w:rPr>
                <w:rFonts w:hint="eastAsia" w:ascii="宋体" w:hAnsi="宋体" w:cs="宋体"/>
                <w:bCs/>
                <w:color w:val="auto"/>
                <w:szCs w:val="21"/>
                <w:highlight w:val="none"/>
              </w:rPr>
              <w:t>6.禁止转让、买卖医疗废物以及空输液瓶；禁止在非暂存处堆放医疗废物；禁止将医疗废物混入其它废物和生活垃圾</w:t>
            </w:r>
          </w:p>
        </w:tc>
        <w:tc>
          <w:tcPr>
            <w:tcW w:w="0" w:type="auto"/>
            <w:vMerge w:val="continue"/>
            <w:vAlign w:val="center"/>
          </w:tcPr>
          <w:p w14:paraId="75E2BC00">
            <w:pPr>
              <w:jc w:val="center"/>
              <w:rPr>
                <w:rFonts w:hint="eastAsia" w:ascii="宋体" w:hAnsi="宋体" w:cs="宋体"/>
                <w:bCs/>
                <w:color w:val="auto"/>
                <w:szCs w:val="21"/>
                <w:highlight w:val="none"/>
              </w:rPr>
            </w:pPr>
          </w:p>
        </w:tc>
      </w:tr>
      <w:tr w14:paraId="32367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0" w:type="auto"/>
            <w:vMerge w:val="continue"/>
            <w:vAlign w:val="center"/>
          </w:tcPr>
          <w:p w14:paraId="160F2816">
            <w:pPr>
              <w:jc w:val="center"/>
              <w:rPr>
                <w:rFonts w:hint="eastAsia" w:ascii="宋体" w:hAnsi="宋体" w:cs="宋体"/>
                <w:bCs/>
                <w:color w:val="auto"/>
                <w:szCs w:val="21"/>
                <w:highlight w:val="none"/>
              </w:rPr>
            </w:pPr>
          </w:p>
        </w:tc>
        <w:tc>
          <w:tcPr>
            <w:tcW w:w="0" w:type="auto"/>
          </w:tcPr>
          <w:p w14:paraId="5E819793">
            <w:pPr>
              <w:rPr>
                <w:rFonts w:hint="eastAsia" w:ascii="宋体" w:hAnsi="宋体" w:cs="宋体"/>
                <w:bCs/>
                <w:color w:val="auto"/>
                <w:szCs w:val="21"/>
                <w:highlight w:val="none"/>
              </w:rPr>
            </w:pPr>
            <w:r>
              <w:rPr>
                <w:rFonts w:hint="eastAsia" w:ascii="宋体" w:hAnsi="宋体" w:cs="宋体"/>
                <w:bCs/>
                <w:color w:val="auto"/>
                <w:szCs w:val="21"/>
                <w:highlight w:val="none"/>
              </w:rPr>
              <w:t>7.发生医疗废物流失、泄露、扩散和意外事故时，应立即报告后勤负责人、医院感染管理处负责人</w:t>
            </w:r>
          </w:p>
        </w:tc>
        <w:tc>
          <w:tcPr>
            <w:tcW w:w="0" w:type="auto"/>
            <w:vMerge w:val="continue"/>
            <w:vAlign w:val="center"/>
          </w:tcPr>
          <w:p w14:paraId="2CA0DC76">
            <w:pPr>
              <w:jc w:val="center"/>
              <w:rPr>
                <w:rFonts w:hint="eastAsia" w:ascii="宋体" w:hAnsi="宋体" w:cs="宋体"/>
                <w:bCs/>
                <w:color w:val="auto"/>
                <w:szCs w:val="21"/>
                <w:highlight w:val="none"/>
              </w:rPr>
            </w:pPr>
          </w:p>
        </w:tc>
      </w:tr>
      <w:tr w14:paraId="0455E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0" w:type="auto"/>
            <w:vMerge w:val="continue"/>
            <w:vAlign w:val="center"/>
          </w:tcPr>
          <w:p w14:paraId="6D89FC89">
            <w:pPr>
              <w:jc w:val="center"/>
              <w:rPr>
                <w:rFonts w:hint="eastAsia" w:ascii="宋体" w:hAnsi="宋体" w:cs="宋体"/>
                <w:bCs/>
                <w:color w:val="auto"/>
                <w:szCs w:val="21"/>
                <w:highlight w:val="none"/>
              </w:rPr>
            </w:pPr>
          </w:p>
        </w:tc>
        <w:tc>
          <w:tcPr>
            <w:tcW w:w="0" w:type="auto"/>
            <w:vAlign w:val="center"/>
          </w:tcPr>
          <w:p w14:paraId="61AA1000">
            <w:pPr>
              <w:rPr>
                <w:rFonts w:hint="eastAsia" w:ascii="宋体" w:hAnsi="宋体" w:cs="宋体"/>
                <w:bCs/>
                <w:color w:val="auto"/>
                <w:szCs w:val="21"/>
                <w:highlight w:val="none"/>
              </w:rPr>
            </w:pPr>
            <w:r>
              <w:rPr>
                <w:rFonts w:hint="eastAsia" w:ascii="宋体" w:hAnsi="宋体" w:cs="宋体"/>
                <w:bCs/>
                <w:color w:val="auto"/>
                <w:szCs w:val="21"/>
                <w:highlight w:val="none"/>
              </w:rPr>
              <w:t>（五）拖把间</w:t>
            </w:r>
          </w:p>
        </w:tc>
        <w:tc>
          <w:tcPr>
            <w:tcW w:w="0" w:type="auto"/>
            <w:vMerge w:val="restart"/>
            <w:vAlign w:val="center"/>
          </w:tcPr>
          <w:p w14:paraId="5434B022">
            <w:pPr>
              <w:jc w:val="center"/>
              <w:rPr>
                <w:rFonts w:hint="eastAsia" w:ascii="宋体" w:hAnsi="宋体" w:cs="宋体"/>
                <w:bCs/>
                <w:color w:val="auto"/>
                <w:szCs w:val="21"/>
                <w:highlight w:val="none"/>
              </w:rPr>
            </w:pPr>
            <w:r>
              <w:rPr>
                <w:rFonts w:hint="eastAsia" w:ascii="宋体" w:hAnsi="宋体" w:cs="宋体"/>
                <w:bCs/>
                <w:color w:val="auto"/>
                <w:szCs w:val="21"/>
                <w:highlight w:val="none"/>
              </w:rPr>
              <w:t>2</w:t>
            </w:r>
          </w:p>
        </w:tc>
      </w:tr>
      <w:tr w14:paraId="47870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0" w:type="auto"/>
            <w:vMerge w:val="continue"/>
            <w:vAlign w:val="center"/>
          </w:tcPr>
          <w:p w14:paraId="6E15607F">
            <w:pPr>
              <w:jc w:val="center"/>
              <w:rPr>
                <w:rFonts w:hint="eastAsia" w:ascii="宋体" w:hAnsi="宋体" w:cs="宋体"/>
                <w:bCs/>
                <w:color w:val="auto"/>
                <w:szCs w:val="21"/>
                <w:highlight w:val="none"/>
              </w:rPr>
            </w:pPr>
          </w:p>
        </w:tc>
        <w:tc>
          <w:tcPr>
            <w:tcW w:w="0" w:type="auto"/>
          </w:tcPr>
          <w:p w14:paraId="4523D5D5">
            <w:pPr>
              <w:rPr>
                <w:rFonts w:hint="eastAsia" w:ascii="宋体" w:hAnsi="宋体" w:cs="宋体"/>
                <w:bCs/>
                <w:color w:val="auto"/>
                <w:szCs w:val="21"/>
                <w:highlight w:val="none"/>
              </w:rPr>
            </w:pPr>
            <w:r>
              <w:rPr>
                <w:rFonts w:hint="eastAsia" w:ascii="宋体" w:hAnsi="宋体" w:cs="宋体"/>
                <w:bCs/>
                <w:color w:val="auto"/>
                <w:szCs w:val="21"/>
                <w:highlight w:val="none"/>
              </w:rPr>
              <w:t>1.保持拖把间整洁、无异味</w:t>
            </w:r>
          </w:p>
        </w:tc>
        <w:tc>
          <w:tcPr>
            <w:tcW w:w="0" w:type="auto"/>
            <w:vMerge w:val="continue"/>
            <w:vAlign w:val="center"/>
          </w:tcPr>
          <w:p w14:paraId="0ACF2339">
            <w:pPr>
              <w:jc w:val="center"/>
              <w:rPr>
                <w:rFonts w:hint="eastAsia" w:ascii="宋体" w:hAnsi="宋体" w:cs="宋体"/>
                <w:bCs/>
                <w:color w:val="auto"/>
                <w:szCs w:val="21"/>
                <w:highlight w:val="none"/>
              </w:rPr>
            </w:pPr>
          </w:p>
        </w:tc>
      </w:tr>
      <w:tr w14:paraId="61490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jc w:val="center"/>
        </w:trPr>
        <w:tc>
          <w:tcPr>
            <w:tcW w:w="0" w:type="auto"/>
            <w:vMerge w:val="continue"/>
            <w:vAlign w:val="center"/>
          </w:tcPr>
          <w:p w14:paraId="22785B38">
            <w:pPr>
              <w:jc w:val="center"/>
              <w:rPr>
                <w:rFonts w:hint="eastAsia" w:ascii="宋体" w:hAnsi="宋体" w:cs="宋体"/>
                <w:bCs/>
                <w:color w:val="auto"/>
                <w:szCs w:val="21"/>
                <w:highlight w:val="none"/>
              </w:rPr>
            </w:pPr>
          </w:p>
        </w:tc>
        <w:tc>
          <w:tcPr>
            <w:tcW w:w="0" w:type="auto"/>
          </w:tcPr>
          <w:p w14:paraId="7E503294">
            <w:pPr>
              <w:rPr>
                <w:rFonts w:hint="eastAsia" w:ascii="宋体" w:hAnsi="宋体" w:cs="宋体"/>
                <w:bCs/>
                <w:color w:val="auto"/>
                <w:szCs w:val="21"/>
                <w:highlight w:val="none"/>
              </w:rPr>
            </w:pPr>
            <w:r>
              <w:rPr>
                <w:rFonts w:hint="eastAsia" w:ascii="宋体" w:hAnsi="宋体" w:cs="宋体"/>
                <w:bCs/>
                <w:color w:val="auto"/>
                <w:szCs w:val="21"/>
                <w:highlight w:val="none"/>
              </w:rPr>
              <w:t>2.拖把、抹布按分区挂好，不得乱放或藏于小间内</w:t>
            </w:r>
          </w:p>
        </w:tc>
        <w:tc>
          <w:tcPr>
            <w:tcW w:w="0" w:type="auto"/>
            <w:vMerge w:val="continue"/>
            <w:vAlign w:val="center"/>
          </w:tcPr>
          <w:p w14:paraId="65B163A8">
            <w:pPr>
              <w:jc w:val="center"/>
              <w:rPr>
                <w:rFonts w:hint="eastAsia" w:ascii="宋体" w:hAnsi="宋体" w:cs="宋体"/>
                <w:bCs/>
                <w:color w:val="auto"/>
                <w:szCs w:val="21"/>
                <w:highlight w:val="none"/>
              </w:rPr>
            </w:pPr>
          </w:p>
        </w:tc>
      </w:tr>
      <w:tr w14:paraId="26A62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 w:hRule="atLeast"/>
          <w:jc w:val="center"/>
        </w:trPr>
        <w:tc>
          <w:tcPr>
            <w:tcW w:w="0" w:type="auto"/>
            <w:vMerge w:val="continue"/>
            <w:vAlign w:val="center"/>
          </w:tcPr>
          <w:p w14:paraId="48F81D68">
            <w:pPr>
              <w:jc w:val="center"/>
              <w:rPr>
                <w:rFonts w:hint="eastAsia" w:ascii="宋体" w:hAnsi="宋体" w:cs="宋体"/>
                <w:bCs/>
                <w:color w:val="auto"/>
                <w:szCs w:val="21"/>
                <w:highlight w:val="none"/>
              </w:rPr>
            </w:pPr>
          </w:p>
        </w:tc>
        <w:tc>
          <w:tcPr>
            <w:tcW w:w="0" w:type="auto"/>
          </w:tcPr>
          <w:p w14:paraId="718CFCF7">
            <w:pPr>
              <w:rPr>
                <w:rFonts w:hint="eastAsia" w:ascii="宋体" w:hAnsi="宋体" w:cs="宋体"/>
                <w:bCs/>
                <w:color w:val="auto"/>
                <w:szCs w:val="21"/>
                <w:highlight w:val="none"/>
              </w:rPr>
            </w:pPr>
            <w:r>
              <w:rPr>
                <w:rFonts w:hint="eastAsia" w:ascii="宋体" w:hAnsi="宋体" w:cs="宋体"/>
                <w:bCs/>
                <w:color w:val="auto"/>
                <w:szCs w:val="21"/>
                <w:highlight w:val="none"/>
              </w:rPr>
              <w:t>3消杀人眼掌握拖把和抹布的分区使用要求</w:t>
            </w:r>
          </w:p>
        </w:tc>
        <w:tc>
          <w:tcPr>
            <w:tcW w:w="0" w:type="auto"/>
            <w:vMerge w:val="continue"/>
            <w:vAlign w:val="center"/>
          </w:tcPr>
          <w:p w14:paraId="48D175EF">
            <w:pPr>
              <w:jc w:val="center"/>
              <w:rPr>
                <w:rFonts w:hint="eastAsia" w:ascii="宋体" w:hAnsi="宋体" w:cs="宋体"/>
                <w:bCs/>
                <w:color w:val="auto"/>
                <w:szCs w:val="21"/>
                <w:highlight w:val="none"/>
              </w:rPr>
            </w:pPr>
          </w:p>
        </w:tc>
      </w:tr>
      <w:tr w14:paraId="0DE70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 w:hRule="atLeast"/>
          <w:jc w:val="center"/>
        </w:trPr>
        <w:tc>
          <w:tcPr>
            <w:tcW w:w="0" w:type="auto"/>
            <w:vMerge w:val="continue"/>
            <w:vAlign w:val="center"/>
          </w:tcPr>
          <w:p w14:paraId="4E817A77">
            <w:pPr>
              <w:jc w:val="center"/>
              <w:rPr>
                <w:rFonts w:hint="eastAsia" w:ascii="宋体" w:hAnsi="宋体" w:cs="宋体"/>
                <w:bCs/>
                <w:color w:val="auto"/>
                <w:szCs w:val="21"/>
                <w:highlight w:val="none"/>
              </w:rPr>
            </w:pPr>
          </w:p>
        </w:tc>
        <w:tc>
          <w:tcPr>
            <w:tcW w:w="0" w:type="auto"/>
            <w:vAlign w:val="center"/>
          </w:tcPr>
          <w:p w14:paraId="58440CE8">
            <w:pPr>
              <w:rPr>
                <w:rFonts w:hint="eastAsia" w:ascii="宋体" w:hAnsi="宋体" w:cs="宋体"/>
                <w:bCs/>
                <w:color w:val="auto"/>
                <w:szCs w:val="21"/>
                <w:highlight w:val="none"/>
              </w:rPr>
            </w:pPr>
            <w:r>
              <w:rPr>
                <w:rFonts w:hint="eastAsia" w:ascii="宋体" w:hAnsi="宋体" w:cs="宋体"/>
                <w:bCs/>
                <w:color w:val="auto"/>
                <w:szCs w:val="21"/>
                <w:highlight w:val="none"/>
              </w:rPr>
              <w:t>（六）洗衣房</w:t>
            </w:r>
          </w:p>
        </w:tc>
        <w:tc>
          <w:tcPr>
            <w:tcW w:w="0" w:type="auto"/>
            <w:vMerge w:val="restart"/>
            <w:vAlign w:val="center"/>
          </w:tcPr>
          <w:p w14:paraId="45B00CC7">
            <w:pPr>
              <w:jc w:val="center"/>
              <w:rPr>
                <w:rFonts w:hint="eastAsia" w:ascii="宋体" w:hAnsi="宋体" w:cs="宋体"/>
                <w:bCs/>
                <w:color w:val="auto"/>
                <w:szCs w:val="21"/>
                <w:highlight w:val="none"/>
              </w:rPr>
            </w:pPr>
            <w:r>
              <w:rPr>
                <w:rFonts w:hint="eastAsia" w:ascii="宋体" w:hAnsi="宋体" w:cs="宋体"/>
                <w:bCs/>
                <w:color w:val="auto"/>
                <w:szCs w:val="21"/>
                <w:highlight w:val="none"/>
              </w:rPr>
              <w:t>1</w:t>
            </w:r>
          </w:p>
        </w:tc>
      </w:tr>
      <w:tr w14:paraId="68813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jc w:val="center"/>
        </w:trPr>
        <w:tc>
          <w:tcPr>
            <w:tcW w:w="0" w:type="auto"/>
            <w:vMerge w:val="continue"/>
            <w:vAlign w:val="center"/>
          </w:tcPr>
          <w:p w14:paraId="7346D0FC">
            <w:pPr>
              <w:jc w:val="center"/>
              <w:rPr>
                <w:rFonts w:hint="eastAsia" w:ascii="宋体" w:hAnsi="宋体" w:cs="宋体"/>
                <w:bCs/>
                <w:color w:val="auto"/>
                <w:szCs w:val="21"/>
                <w:highlight w:val="none"/>
              </w:rPr>
            </w:pPr>
          </w:p>
        </w:tc>
        <w:tc>
          <w:tcPr>
            <w:tcW w:w="0" w:type="auto"/>
          </w:tcPr>
          <w:p w14:paraId="7ECC58B1">
            <w:pPr>
              <w:rPr>
                <w:rFonts w:hint="eastAsia" w:ascii="宋体" w:hAnsi="宋体" w:cs="宋体"/>
                <w:bCs/>
                <w:color w:val="auto"/>
                <w:szCs w:val="21"/>
                <w:highlight w:val="none"/>
              </w:rPr>
            </w:pPr>
            <w:r>
              <w:rPr>
                <w:rFonts w:hint="eastAsia" w:ascii="宋体" w:hAnsi="宋体" w:cs="宋体"/>
                <w:bCs/>
                <w:color w:val="auto"/>
                <w:szCs w:val="21"/>
                <w:highlight w:val="none"/>
              </w:rPr>
              <w:t>1.洗衣房布局合理；接收污染的医用衣物与发放洗涤消毒后的医用衣物分区管理</w:t>
            </w:r>
          </w:p>
        </w:tc>
        <w:tc>
          <w:tcPr>
            <w:tcW w:w="0" w:type="auto"/>
            <w:vMerge w:val="continue"/>
            <w:vAlign w:val="center"/>
          </w:tcPr>
          <w:p w14:paraId="007375F7">
            <w:pPr>
              <w:jc w:val="center"/>
              <w:rPr>
                <w:rFonts w:hint="eastAsia" w:ascii="宋体" w:hAnsi="宋体" w:cs="宋体"/>
                <w:bCs/>
                <w:color w:val="auto"/>
                <w:szCs w:val="21"/>
                <w:highlight w:val="none"/>
              </w:rPr>
            </w:pPr>
          </w:p>
        </w:tc>
      </w:tr>
      <w:tr w14:paraId="07092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0" w:type="auto"/>
            <w:vMerge w:val="continue"/>
            <w:vAlign w:val="center"/>
          </w:tcPr>
          <w:p w14:paraId="40CED57F">
            <w:pPr>
              <w:jc w:val="center"/>
              <w:rPr>
                <w:rFonts w:hint="eastAsia" w:ascii="宋体" w:hAnsi="宋体" w:cs="宋体"/>
                <w:bCs/>
                <w:color w:val="auto"/>
                <w:szCs w:val="21"/>
                <w:highlight w:val="none"/>
              </w:rPr>
            </w:pPr>
          </w:p>
        </w:tc>
        <w:tc>
          <w:tcPr>
            <w:tcW w:w="0" w:type="auto"/>
          </w:tcPr>
          <w:p w14:paraId="59E13A5C">
            <w:pPr>
              <w:rPr>
                <w:rFonts w:hint="eastAsia" w:ascii="宋体" w:hAnsi="宋体" w:cs="宋体"/>
                <w:bCs/>
                <w:color w:val="auto"/>
                <w:szCs w:val="21"/>
                <w:highlight w:val="none"/>
              </w:rPr>
            </w:pPr>
            <w:r>
              <w:rPr>
                <w:rFonts w:hint="eastAsia" w:ascii="宋体" w:hAnsi="宋体" w:cs="宋体"/>
                <w:bCs/>
                <w:color w:val="auto"/>
                <w:szCs w:val="21"/>
                <w:highlight w:val="none"/>
              </w:rPr>
              <w:t>2.收集人员严禁在病区内进行清点与清理，应尽量减少对污染衣物的抖动行为，防止衣物上病原微生物向周围环境扩散；运送污染衣物的容器使用后立即消毒</w:t>
            </w:r>
          </w:p>
        </w:tc>
        <w:tc>
          <w:tcPr>
            <w:tcW w:w="0" w:type="auto"/>
            <w:vMerge w:val="continue"/>
            <w:vAlign w:val="center"/>
          </w:tcPr>
          <w:p w14:paraId="3088B15E">
            <w:pPr>
              <w:jc w:val="center"/>
              <w:rPr>
                <w:rFonts w:hint="eastAsia" w:ascii="宋体" w:hAnsi="宋体" w:cs="宋体"/>
                <w:bCs/>
                <w:color w:val="auto"/>
                <w:szCs w:val="21"/>
                <w:highlight w:val="none"/>
              </w:rPr>
            </w:pPr>
          </w:p>
        </w:tc>
      </w:tr>
      <w:tr w14:paraId="32CD6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 w:hRule="atLeast"/>
          <w:jc w:val="center"/>
        </w:trPr>
        <w:tc>
          <w:tcPr>
            <w:tcW w:w="0" w:type="auto"/>
            <w:vMerge w:val="continue"/>
            <w:vAlign w:val="center"/>
          </w:tcPr>
          <w:p w14:paraId="04ACD32B">
            <w:pPr>
              <w:jc w:val="center"/>
              <w:rPr>
                <w:rFonts w:hint="eastAsia" w:ascii="宋体" w:hAnsi="宋体" w:cs="宋体"/>
                <w:bCs/>
                <w:color w:val="auto"/>
                <w:szCs w:val="21"/>
                <w:highlight w:val="none"/>
              </w:rPr>
            </w:pPr>
          </w:p>
        </w:tc>
        <w:tc>
          <w:tcPr>
            <w:tcW w:w="0" w:type="auto"/>
            <w:vAlign w:val="center"/>
          </w:tcPr>
          <w:p w14:paraId="752DD35D">
            <w:pPr>
              <w:rPr>
                <w:rFonts w:hint="eastAsia" w:ascii="宋体" w:hAnsi="宋体" w:cs="宋体"/>
                <w:bCs/>
                <w:color w:val="auto"/>
                <w:szCs w:val="21"/>
                <w:highlight w:val="none"/>
              </w:rPr>
            </w:pPr>
            <w:r>
              <w:rPr>
                <w:rFonts w:hint="eastAsia" w:ascii="宋体" w:hAnsi="宋体" w:cs="宋体"/>
                <w:bCs/>
                <w:color w:val="auto"/>
                <w:szCs w:val="21"/>
                <w:highlight w:val="none"/>
              </w:rPr>
              <w:t>（七）食堂</w:t>
            </w:r>
          </w:p>
        </w:tc>
        <w:tc>
          <w:tcPr>
            <w:tcW w:w="0" w:type="auto"/>
            <w:vMerge w:val="restart"/>
            <w:vAlign w:val="center"/>
          </w:tcPr>
          <w:p w14:paraId="7A128035">
            <w:pPr>
              <w:jc w:val="center"/>
              <w:rPr>
                <w:rFonts w:hint="eastAsia" w:ascii="宋体" w:hAnsi="宋体" w:cs="宋体"/>
                <w:bCs/>
                <w:color w:val="auto"/>
                <w:szCs w:val="21"/>
                <w:highlight w:val="none"/>
              </w:rPr>
            </w:pPr>
            <w:r>
              <w:rPr>
                <w:rFonts w:hint="eastAsia" w:ascii="宋体" w:hAnsi="宋体" w:cs="宋体"/>
                <w:bCs/>
                <w:color w:val="auto"/>
                <w:szCs w:val="21"/>
                <w:highlight w:val="none"/>
              </w:rPr>
              <w:t>3</w:t>
            </w:r>
          </w:p>
        </w:tc>
      </w:tr>
      <w:tr w14:paraId="74E73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0" w:type="auto"/>
            <w:vMerge w:val="continue"/>
            <w:vAlign w:val="center"/>
          </w:tcPr>
          <w:p w14:paraId="0C0E03B5">
            <w:pPr>
              <w:jc w:val="center"/>
              <w:rPr>
                <w:rFonts w:hint="eastAsia" w:ascii="宋体" w:hAnsi="宋体" w:cs="宋体"/>
                <w:bCs/>
                <w:color w:val="auto"/>
                <w:szCs w:val="21"/>
                <w:highlight w:val="none"/>
              </w:rPr>
            </w:pPr>
          </w:p>
        </w:tc>
        <w:tc>
          <w:tcPr>
            <w:tcW w:w="0" w:type="auto"/>
          </w:tcPr>
          <w:p w14:paraId="10B0E2AA">
            <w:pPr>
              <w:rPr>
                <w:rFonts w:hint="eastAsia" w:ascii="宋体" w:hAnsi="宋体" w:cs="宋体"/>
                <w:bCs/>
                <w:color w:val="auto"/>
                <w:szCs w:val="21"/>
                <w:highlight w:val="none"/>
              </w:rPr>
            </w:pPr>
            <w:r>
              <w:rPr>
                <w:rFonts w:hint="eastAsia" w:ascii="宋体" w:hAnsi="宋体" w:cs="宋体"/>
                <w:bCs/>
                <w:color w:val="auto"/>
                <w:szCs w:val="21"/>
                <w:highlight w:val="none"/>
              </w:rPr>
              <w:t>1.室内通风，保持清洁、干燥，防交叉感染；每周大扫除一次，消灭蟑螂、苍蝇、老鼠等传播媒介物；售菜间等做好日常紫外线消毒工作并记录</w:t>
            </w:r>
          </w:p>
        </w:tc>
        <w:tc>
          <w:tcPr>
            <w:tcW w:w="0" w:type="auto"/>
            <w:vMerge w:val="continue"/>
            <w:vAlign w:val="center"/>
          </w:tcPr>
          <w:p w14:paraId="6CF4582A">
            <w:pPr>
              <w:jc w:val="center"/>
              <w:rPr>
                <w:rFonts w:hint="eastAsia" w:ascii="宋体" w:hAnsi="宋体" w:cs="宋体"/>
                <w:bCs/>
                <w:color w:val="auto"/>
                <w:szCs w:val="21"/>
                <w:highlight w:val="none"/>
              </w:rPr>
            </w:pPr>
          </w:p>
        </w:tc>
      </w:tr>
      <w:tr w14:paraId="1F277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 w:hRule="atLeast"/>
          <w:jc w:val="center"/>
        </w:trPr>
        <w:tc>
          <w:tcPr>
            <w:tcW w:w="0" w:type="auto"/>
            <w:vMerge w:val="continue"/>
            <w:vAlign w:val="center"/>
          </w:tcPr>
          <w:p w14:paraId="66254245">
            <w:pPr>
              <w:jc w:val="center"/>
              <w:rPr>
                <w:rFonts w:hint="eastAsia" w:ascii="宋体" w:hAnsi="宋体" w:cs="宋体"/>
                <w:bCs/>
                <w:color w:val="auto"/>
                <w:szCs w:val="21"/>
                <w:highlight w:val="none"/>
              </w:rPr>
            </w:pPr>
          </w:p>
        </w:tc>
        <w:tc>
          <w:tcPr>
            <w:tcW w:w="0" w:type="auto"/>
          </w:tcPr>
          <w:p w14:paraId="3E6C4DAC">
            <w:pPr>
              <w:rPr>
                <w:rFonts w:hint="eastAsia" w:ascii="宋体" w:hAnsi="宋体" w:cs="宋体"/>
                <w:bCs/>
                <w:color w:val="auto"/>
                <w:szCs w:val="21"/>
                <w:highlight w:val="none"/>
              </w:rPr>
            </w:pPr>
            <w:r>
              <w:rPr>
                <w:rFonts w:hint="eastAsia" w:ascii="宋体" w:hAnsi="宋体" w:cs="宋体"/>
                <w:bCs/>
                <w:color w:val="auto"/>
                <w:szCs w:val="21"/>
                <w:highlight w:val="none"/>
              </w:rPr>
              <w:t>2.门、窗、桌、椅、地面每日擦拭或清洁，餐具用后放入橱柜内，拖布抹布按规定消毒及放置</w:t>
            </w:r>
          </w:p>
        </w:tc>
        <w:tc>
          <w:tcPr>
            <w:tcW w:w="0" w:type="auto"/>
            <w:vMerge w:val="continue"/>
            <w:vAlign w:val="center"/>
          </w:tcPr>
          <w:p w14:paraId="5BEC9BF2">
            <w:pPr>
              <w:jc w:val="center"/>
              <w:rPr>
                <w:rFonts w:hint="eastAsia" w:ascii="宋体" w:hAnsi="宋体" w:cs="宋体"/>
                <w:bCs/>
                <w:color w:val="auto"/>
                <w:szCs w:val="21"/>
                <w:highlight w:val="none"/>
              </w:rPr>
            </w:pPr>
          </w:p>
        </w:tc>
      </w:tr>
      <w:tr w14:paraId="67640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 w:hRule="atLeast"/>
          <w:jc w:val="center"/>
        </w:trPr>
        <w:tc>
          <w:tcPr>
            <w:tcW w:w="0" w:type="auto"/>
            <w:vMerge w:val="continue"/>
            <w:vAlign w:val="center"/>
          </w:tcPr>
          <w:p w14:paraId="4758B037">
            <w:pPr>
              <w:jc w:val="center"/>
              <w:rPr>
                <w:rFonts w:hint="eastAsia" w:ascii="宋体" w:hAnsi="宋体" w:cs="宋体"/>
                <w:bCs/>
                <w:color w:val="auto"/>
                <w:szCs w:val="21"/>
                <w:highlight w:val="none"/>
              </w:rPr>
            </w:pPr>
          </w:p>
        </w:tc>
        <w:tc>
          <w:tcPr>
            <w:tcW w:w="0" w:type="auto"/>
          </w:tcPr>
          <w:p w14:paraId="306D0952">
            <w:pPr>
              <w:rPr>
                <w:rFonts w:hint="eastAsia" w:ascii="宋体" w:hAnsi="宋体" w:cs="宋体"/>
                <w:bCs/>
                <w:color w:val="auto"/>
                <w:szCs w:val="21"/>
                <w:highlight w:val="none"/>
              </w:rPr>
            </w:pPr>
            <w:r>
              <w:rPr>
                <w:rFonts w:hint="eastAsia" w:ascii="宋体" w:hAnsi="宋体" w:cs="宋体"/>
                <w:bCs/>
                <w:color w:val="auto"/>
                <w:szCs w:val="21"/>
                <w:highlight w:val="none"/>
              </w:rPr>
              <w:t>3.餐具清洗消毒到位，定期接受卫监部门检测，结果需符合GB 14934-2016食品安全国家标准消毒餐（饮）具标准</w:t>
            </w:r>
          </w:p>
        </w:tc>
        <w:tc>
          <w:tcPr>
            <w:tcW w:w="0" w:type="auto"/>
            <w:vMerge w:val="continue"/>
            <w:vAlign w:val="center"/>
          </w:tcPr>
          <w:p w14:paraId="620B525F">
            <w:pPr>
              <w:jc w:val="center"/>
              <w:rPr>
                <w:rFonts w:hint="eastAsia" w:ascii="宋体" w:hAnsi="宋体" w:cs="宋体"/>
                <w:bCs/>
                <w:color w:val="auto"/>
                <w:szCs w:val="21"/>
                <w:highlight w:val="none"/>
              </w:rPr>
            </w:pPr>
          </w:p>
        </w:tc>
      </w:tr>
      <w:tr w14:paraId="028C8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 w:hRule="atLeast"/>
          <w:jc w:val="center"/>
        </w:trPr>
        <w:tc>
          <w:tcPr>
            <w:tcW w:w="0" w:type="auto"/>
            <w:vMerge w:val="continue"/>
            <w:vAlign w:val="center"/>
          </w:tcPr>
          <w:p w14:paraId="0276B6C3">
            <w:pPr>
              <w:jc w:val="center"/>
              <w:rPr>
                <w:rFonts w:hint="eastAsia" w:ascii="宋体" w:hAnsi="宋体" w:cs="宋体"/>
                <w:bCs/>
                <w:color w:val="auto"/>
                <w:szCs w:val="21"/>
                <w:highlight w:val="none"/>
              </w:rPr>
            </w:pPr>
          </w:p>
        </w:tc>
        <w:tc>
          <w:tcPr>
            <w:tcW w:w="0" w:type="auto"/>
          </w:tcPr>
          <w:p w14:paraId="1F4E0286">
            <w:pPr>
              <w:rPr>
                <w:rFonts w:hint="eastAsia" w:ascii="宋体" w:hAnsi="宋体" w:cs="宋体"/>
                <w:bCs/>
                <w:color w:val="auto"/>
                <w:szCs w:val="21"/>
                <w:highlight w:val="none"/>
              </w:rPr>
            </w:pPr>
            <w:r>
              <w:rPr>
                <w:rFonts w:hint="eastAsia" w:ascii="宋体" w:hAnsi="宋体" w:cs="宋体"/>
                <w:bCs/>
                <w:color w:val="auto"/>
                <w:szCs w:val="21"/>
                <w:highlight w:val="none"/>
              </w:rPr>
              <w:t>4.生、熟食品分开操作及存储，标识明确</w:t>
            </w:r>
          </w:p>
        </w:tc>
        <w:tc>
          <w:tcPr>
            <w:tcW w:w="0" w:type="auto"/>
            <w:vMerge w:val="continue"/>
            <w:vAlign w:val="center"/>
          </w:tcPr>
          <w:p w14:paraId="0EC3A48E">
            <w:pPr>
              <w:jc w:val="center"/>
              <w:rPr>
                <w:rFonts w:hint="eastAsia" w:ascii="宋体" w:hAnsi="宋体" w:cs="宋体"/>
                <w:bCs/>
                <w:color w:val="auto"/>
                <w:szCs w:val="21"/>
                <w:highlight w:val="none"/>
              </w:rPr>
            </w:pPr>
          </w:p>
        </w:tc>
      </w:tr>
      <w:tr w14:paraId="00CF8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jc w:val="center"/>
        </w:trPr>
        <w:tc>
          <w:tcPr>
            <w:tcW w:w="0" w:type="auto"/>
            <w:vMerge w:val="continue"/>
            <w:vAlign w:val="center"/>
          </w:tcPr>
          <w:p w14:paraId="63F79A64">
            <w:pPr>
              <w:jc w:val="center"/>
              <w:rPr>
                <w:rFonts w:hint="eastAsia" w:ascii="宋体" w:hAnsi="宋体" w:cs="宋体"/>
                <w:bCs/>
                <w:color w:val="auto"/>
                <w:szCs w:val="21"/>
                <w:highlight w:val="none"/>
              </w:rPr>
            </w:pPr>
          </w:p>
        </w:tc>
        <w:tc>
          <w:tcPr>
            <w:tcW w:w="0" w:type="auto"/>
          </w:tcPr>
          <w:p w14:paraId="2CEACFE3">
            <w:pPr>
              <w:rPr>
                <w:rFonts w:hint="eastAsia" w:ascii="宋体" w:hAnsi="宋体" w:cs="宋体"/>
                <w:bCs/>
                <w:color w:val="auto"/>
                <w:szCs w:val="21"/>
                <w:highlight w:val="none"/>
              </w:rPr>
            </w:pPr>
            <w:r>
              <w:rPr>
                <w:rFonts w:hint="eastAsia" w:ascii="宋体" w:hAnsi="宋体" w:cs="宋体"/>
                <w:bCs/>
                <w:color w:val="auto"/>
                <w:szCs w:val="21"/>
                <w:highlight w:val="none"/>
              </w:rPr>
              <w:t>5.食品原料在使用前必须洗净，蔬菜应当与肉类、水产品类分池清洗，禽蛋在使用前应当进行清洗，必要时进行消毒处理</w:t>
            </w:r>
          </w:p>
        </w:tc>
        <w:tc>
          <w:tcPr>
            <w:tcW w:w="0" w:type="auto"/>
            <w:vMerge w:val="continue"/>
            <w:vAlign w:val="center"/>
          </w:tcPr>
          <w:p w14:paraId="473614FA">
            <w:pPr>
              <w:jc w:val="center"/>
              <w:rPr>
                <w:rFonts w:hint="eastAsia" w:ascii="宋体" w:hAnsi="宋体" w:cs="宋体"/>
                <w:bCs/>
                <w:color w:val="auto"/>
                <w:szCs w:val="21"/>
                <w:highlight w:val="none"/>
              </w:rPr>
            </w:pPr>
          </w:p>
        </w:tc>
      </w:tr>
      <w:tr w14:paraId="6D6F4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 w:hRule="atLeast"/>
          <w:jc w:val="center"/>
        </w:trPr>
        <w:tc>
          <w:tcPr>
            <w:tcW w:w="0" w:type="auto"/>
            <w:vMerge w:val="continue"/>
            <w:vAlign w:val="center"/>
          </w:tcPr>
          <w:p w14:paraId="34BAFDC2">
            <w:pPr>
              <w:jc w:val="center"/>
              <w:rPr>
                <w:rFonts w:hint="eastAsia" w:ascii="宋体" w:hAnsi="宋体" w:cs="宋体"/>
                <w:bCs/>
                <w:color w:val="auto"/>
                <w:szCs w:val="21"/>
                <w:highlight w:val="none"/>
              </w:rPr>
            </w:pPr>
          </w:p>
        </w:tc>
        <w:tc>
          <w:tcPr>
            <w:tcW w:w="0" w:type="auto"/>
          </w:tcPr>
          <w:p w14:paraId="04A5DC10">
            <w:pPr>
              <w:rPr>
                <w:rFonts w:hint="eastAsia" w:ascii="宋体" w:hAnsi="宋体" w:cs="宋体"/>
                <w:bCs/>
                <w:color w:val="auto"/>
                <w:szCs w:val="21"/>
                <w:highlight w:val="none"/>
              </w:rPr>
            </w:pPr>
            <w:r>
              <w:rPr>
                <w:rFonts w:hint="eastAsia" w:ascii="宋体" w:hAnsi="宋体" w:cs="宋体"/>
                <w:bCs/>
                <w:color w:val="auto"/>
                <w:szCs w:val="21"/>
                <w:highlight w:val="none"/>
              </w:rPr>
              <w:t>6.食品仓库内不得存放有害物质（杀虫剂、洗涤剂、消毒剂等），不得存放个人物品和杂物</w:t>
            </w:r>
          </w:p>
        </w:tc>
        <w:tc>
          <w:tcPr>
            <w:tcW w:w="0" w:type="auto"/>
            <w:vMerge w:val="continue"/>
            <w:vAlign w:val="center"/>
          </w:tcPr>
          <w:p w14:paraId="69F815F5">
            <w:pPr>
              <w:jc w:val="center"/>
              <w:rPr>
                <w:rFonts w:hint="eastAsia" w:ascii="宋体" w:hAnsi="宋体" w:cs="宋体"/>
                <w:bCs/>
                <w:color w:val="auto"/>
                <w:szCs w:val="21"/>
                <w:highlight w:val="none"/>
              </w:rPr>
            </w:pPr>
          </w:p>
        </w:tc>
      </w:tr>
      <w:tr w14:paraId="2CAE8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0" w:type="auto"/>
            <w:vMerge w:val="continue"/>
            <w:vAlign w:val="center"/>
          </w:tcPr>
          <w:p w14:paraId="61E15EAF">
            <w:pPr>
              <w:jc w:val="center"/>
              <w:rPr>
                <w:rFonts w:hint="eastAsia" w:ascii="宋体" w:hAnsi="宋体" w:cs="宋体"/>
                <w:bCs/>
                <w:color w:val="auto"/>
                <w:szCs w:val="21"/>
                <w:highlight w:val="none"/>
              </w:rPr>
            </w:pPr>
          </w:p>
        </w:tc>
        <w:tc>
          <w:tcPr>
            <w:tcW w:w="0" w:type="auto"/>
          </w:tcPr>
          <w:p w14:paraId="1DFA4B19">
            <w:pPr>
              <w:rPr>
                <w:rFonts w:hint="eastAsia" w:ascii="宋体" w:hAnsi="宋体" w:cs="宋体"/>
                <w:bCs/>
                <w:color w:val="auto"/>
                <w:szCs w:val="21"/>
                <w:highlight w:val="none"/>
              </w:rPr>
            </w:pPr>
            <w:r>
              <w:rPr>
                <w:rFonts w:hint="eastAsia" w:ascii="宋体" w:hAnsi="宋体" w:cs="宋体"/>
                <w:bCs/>
                <w:color w:val="auto"/>
                <w:szCs w:val="21"/>
                <w:highlight w:val="none"/>
              </w:rPr>
              <w:t>7.冰箱保持整洁，不得出现霉点，食品不可长期放置其中</w:t>
            </w:r>
          </w:p>
        </w:tc>
        <w:tc>
          <w:tcPr>
            <w:tcW w:w="0" w:type="auto"/>
            <w:vMerge w:val="continue"/>
            <w:vAlign w:val="center"/>
          </w:tcPr>
          <w:p w14:paraId="261FCAA9">
            <w:pPr>
              <w:jc w:val="center"/>
              <w:rPr>
                <w:rFonts w:hint="eastAsia" w:ascii="宋体" w:hAnsi="宋体" w:cs="宋体"/>
                <w:bCs/>
                <w:color w:val="auto"/>
                <w:szCs w:val="21"/>
                <w:highlight w:val="none"/>
              </w:rPr>
            </w:pPr>
          </w:p>
        </w:tc>
      </w:tr>
      <w:tr w14:paraId="2B1BE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 w:hRule="atLeast"/>
          <w:jc w:val="center"/>
        </w:trPr>
        <w:tc>
          <w:tcPr>
            <w:tcW w:w="0" w:type="auto"/>
            <w:vMerge w:val="continue"/>
            <w:vAlign w:val="center"/>
          </w:tcPr>
          <w:p w14:paraId="3DA31A86">
            <w:pPr>
              <w:jc w:val="center"/>
              <w:rPr>
                <w:rFonts w:hint="eastAsia" w:ascii="宋体" w:hAnsi="宋体" w:cs="宋体"/>
                <w:bCs/>
                <w:color w:val="auto"/>
                <w:szCs w:val="21"/>
                <w:highlight w:val="none"/>
              </w:rPr>
            </w:pPr>
          </w:p>
        </w:tc>
        <w:tc>
          <w:tcPr>
            <w:tcW w:w="0" w:type="auto"/>
          </w:tcPr>
          <w:p w14:paraId="353D5F52">
            <w:pPr>
              <w:rPr>
                <w:rFonts w:hint="eastAsia" w:ascii="宋体" w:hAnsi="宋体" w:cs="宋体"/>
                <w:bCs/>
                <w:color w:val="auto"/>
                <w:szCs w:val="21"/>
                <w:highlight w:val="none"/>
              </w:rPr>
            </w:pPr>
            <w:r>
              <w:rPr>
                <w:rFonts w:hint="eastAsia" w:ascii="宋体" w:hAnsi="宋体" w:cs="宋体"/>
                <w:bCs/>
                <w:color w:val="auto"/>
                <w:szCs w:val="21"/>
                <w:highlight w:val="none"/>
              </w:rPr>
              <w:t>8.食堂人员个人卫生必须做到：勤洗手、勤剪指甲、勤洗澡、勤换工作服</w:t>
            </w:r>
          </w:p>
        </w:tc>
        <w:tc>
          <w:tcPr>
            <w:tcW w:w="0" w:type="auto"/>
            <w:vMerge w:val="continue"/>
            <w:vAlign w:val="center"/>
          </w:tcPr>
          <w:p w14:paraId="0E7EA210">
            <w:pPr>
              <w:jc w:val="center"/>
              <w:rPr>
                <w:rFonts w:hint="eastAsia" w:ascii="宋体" w:hAnsi="宋体" w:cs="宋体"/>
                <w:bCs/>
                <w:color w:val="auto"/>
                <w:szCs w:val="21"/>
                <w:highlight w:val="none"/>
              </w:rPr>
            </w:pPr>
          </w:p>
        </w:tc>
      </w:tr>
      <w:tr w14:paraId="2D0A8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 w:hRule="atLeast"/>
          <w:jc w:val="center"/>
        </w:trPr>
        <w:tc>
          <w:tcPr>
            <w:tcW w:w="0" w:type="auto"/>
            <w:vMerge w:val="continue"/>
            <w:vAlign w:val="center"/>
          </w:tcPr>
          <w:p w14:paraId="68A202F4">
            <w:pPr>
              <w:jc w:val="center"/>
              <w:rPr>
                <w:rFonts w:hint="eastAsia" w:ascii="宋体" w:hAnsi="宋体" w:cs="宋体"/>
                <w:bCs/>
                <w:color w:val="auto"/>
                <w:szCs w:val="21"/>
                <w:highlight w:val="none"/>
              </w:rPr>
            </w:pPr>
          </w:p>
        </w:tc>
        <w:tc>
          <w:tcPr>
            <w:tcW w:w="0" w:type="auto"/>
          </w:tcPr>
          <w:p w14:paraId="2A582861">
            <w:pPr>
              <w:rPr>
                <w:rFonts w:hint="eastAsia" w:ascii="宋体" w:hAnsi="宋体" w:cs="宋体"/>
                <w:bCs/>
                <w:color w:val="auto"/>
                <w:szCs w:val="21"/>
                <w:highlight w:val="none"/>
              </w:rPr>
            </w:pPr>
            <w:r>
              <w:rPr>
                <w:rFonts w:hint="eastAsia" w:ascii="宋体" w:hAnsi="宋体" w:cs="宋体"/>
                <w:bCs/>
                <w:color w:val="auto"/>
                <w:szCs w:val="21"/>
                <w:highlight w:val="none"/>
              </w:rPr>
              <w:t>9.食堂人员售菜前洗手，穿戴整齐，必须戴口罩并使用售菜工具</w:t>
            </w:r>
          </w:p>
        </w:tc>
        <w:tc>
          <w:tcPr>
            <w:tcW w:w="0" w:type="auto"/>
            <w:vMerge w:val="continue"/>
            <w:vAlign w:val="center"/>
          </w:tcPr>
          <w:p w14:paraId="1311CDA2">
            <w:pPr>
              <w:jc w:val="center"/>
              <w:rPr>
                <w:rFonts w:hint="eastAsia" w:ascii="宋体" w:hAnsi="宋体" w:cs="宋体"/>
                <w:bCs/>
                <w:color w:val="auto"/>
                <w:szCs w:val="21"/>
                <w:highlight w:val="none"/>
              </w:rPr>
            </w:pPr>
          </w:p>
        </w:tc>
      </w:tr>
      <w:tr w14:paraId="64309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 w:hRule="atLeast"/>
          <w:jc w:val="center"/>
        </w:trPr>
        <w:tc>
          <w:tcPr>
            <w:tcW w:w="0" w:type="auto"/>
            <w:vMerge w:val="continue"/>
            <w:vAlign w:val="center"/>
          </w:tcPr>
          <w:p w14:paraId="0747548D">
            <w:pPr>
              <w:jc w:val="center"/>
              <w:rPr>
                <w:rFonts w:hint="eastAsia" w:ascii="宋体" w:hAnsi="宋体" w:cs="宋体"/>
                <w:bCs/>
                <w:color w:val="auto"/>
                <w:szCs w:val="21"/>
                <w:highlight w:val="none"/>
              </w:rPr>
            </w:pPr>
          </w:p>
        </w:tc>
        <w:tc>
          <w:tcPr>
            <w:tcW w:w="0" w:type="auto"/>
          </w:tcPr>
          <w:p w14:paraId="5683534D">
            <w:pPr>
              <w:rPr>
                <w:rFonts w:hint="eastAsia" w:ascii="宋体" w:hAnsi="宋体" w:cs="宋体"/>
                <w:bCs/>
                <w:color w:val="auto"/>
                <w:szCs w:val="21"/>
                <w:highlight w:val="none"/>
              </w:rPr>
            </w:pPr>
            <w:r>
              <w:rPr>
                <w:rFonts w:hint="eastAsia" w:ascii="宋体" w:hAnsi="宋体" w:cs="宋体"/>
                <w:bCs/>
                <w:color w:val="auto"/>
                <w:szCs w:val="21"/>
                <w:highlight w:val="none"/>
              </w:rPr>
              <w:t>（八）垃圾分类</w:t>
            </w:r>
          </w:p>
        </w:tc>
        <w:tc>
          <w:tcPr>
            <w:tcW w:w="0" w:type="auto"/>
            <w:vMerge w:val="restart"/>
            <w:vAlign w:val="center"/>
          </w:tcPr>
          <w:p w14:paraId="071FA604">
            <w:pPr>
              <w:jc w:val="center"/>
              <w:rPr>
                <w:rFonts w:hint="eastAsia" w:ascii="宋体" w:hAnsi="宋体" w:cs="宋体"/>
                <w:bCs/>
                <w:color w:val="auto"/>
                <w:szCs w:val="21"/>
                <w:highlight w:val="none"/>
              </w:rPr>
            </w:pPr>
            <w:r>
              <w:rPr>
                <w:rFonts w:hint="eastAsia" w:ascii="宋体" w:hAnsi="宋体" w:cs="宋体"/>
                <w:bCs/>
                <w:color w:val="auto"/>
                <w:szCs w:val="21"/>
                <w:highlight w:val="none"/>
              </w:rPr>
              <w:t>2</w:t>
            </w:r>
          </w:p>
        </w:tc>
      </w:tr>
      <w:tr w14:paraId="71E11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 w:hRule="atLeast"/>
          <w:jc w:val="center"/>
        </w:trPr>
        <w:tc>
          <w:tcPr>
            <w:tcW w:w="0" w:type="auto"/>
            <w:vMerge w:val="continue"/>
            <w:vAlign w:val="center"/>
          </w:tcPr>
          <w:p w14:paraId="361C407F">
            <w:pPr>
              <w:jc w:val="center"/>
              <w:rPr>
                <w:rFonts w:hint="eastAsia" w:ascii="宋体" w:hAnsi="宋体" w:cs="宋体"/>
                <w:bCs/>
                <w:color w:val="auto"/>
                <w:szCs w:val="21"/>
                <w:highlight w:val="none"/>
              </w:rPr>
            </w:pPr>
          </w:p>
        </w:tc>
        <w:tc>
          <w:tcPr>
            <w:tcW w:w="0" w:type="auto"/>
          </w:tcPr>
          <w:p w14:paraId="74E32B44">
            <w:pPr>
              <w:rPr>
                <w:rFonts w:hint="eastAsia" w:ascii="宋体" w:hAnsi="宋体" w:cs="宋体"/>
                <w:bCs/>
                <w:color w:val="auto"/>
                <w:szCs w:val="21"/>
                <w:highlight w:val="none"/>
              </w:rPr>
            </w:pPr>
            <w:r>
              <w:rPr>
                <w:rFonts w:hint="eastAsia" w:ascii="宋体" w:hAnsi="宋体" w:cs="宋体"/>
                <w:bCs/>
                <w:color w:val="auto"/>
                <w:szCs w:val="21"/>
                <w:highlight w:val="none"/>
              </w:rPr>
              <w:t>1.每天两次对所有垃圾桶进行垃圾袋更换，保持垃圾桶整洁</w:t>
            </w:r>
          </w:p>
        </w:tc>
        <w:tc>
          <w:tcPr>
            <w:tcW w:w="0" w:type="auto"/>
            <w:vMerge w:val="continue"/>
            <w:vAlign w:val="center"/>
          </w:tcPr>
          <w:p w14:paraId="49FFB575">
            <w:pPr>
              <w:jc w:val="center"/>
              <w:rPr>
                <w:rFonts w:hint="eastAsia" w:ascii="宋体" w:hAnsi="宋体" w:cs="宋体"/>
                <w:bCs/>
                <w:color w:val="auto"/>
                <w:szCs w:val="21"/>
                <w:highlight w:val="none"/>
              </w:rPr>
            </w:pPr>
          </w:p>
        </w:tc>
      </w:tr>
      <w:tr w14:paraId="085A0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 w:hRule="atLeast"/>
          <w:jc w:val="center"/>
        </w:trPr>
        <w:tc>
          <w:tcPr>
            <w:tcW w:w="0" w:type="auto"/>
            <w:vMerge w:val="continue"/>
            <w:vAlign w:val="center"/>
          </w:tcPr>
          <w:p w14:paraId="6332CE5E">
            <w:pPr>
              <w:jc w:val="center"/>
              <w:rPr>
                <w:rFonts w:hint="eastAsia" w:ascii="宋体" w:hAnsi="宋体" w:cs="宋体"/>
                <w:bCs/>
                <w:color w:val="auto"/>
                <w:szCs w:val="21"/>
                <w:highlight w:val="none"/>
              </w:rPr>
            </w:pPr>
          </w:p>
        </w:tc>
        <w:tc>
          <w:tcPr>
            <w:tcW w:w="0" w:type="auto"/>
          </w:tcPr>
          <w:p w14:paraId="2F23C77D">
            <w:pPr>
              <w:rPr>
                <w:rFonts w:hint="eastAsia" w:ascii="宋体" w:hAnsi="宋体" w:cs="宋体"/>
                <w:bCs/>
                <w:color w:val="auto"/>
                <w:szCs w:val="21"/>
                <w:highlight w:val="none"/>
              </w:rPr>
            </w:pPr>
            <w:r>
              <w:rPr>
                <w:rFonts w:hint="eastAsia" w:ascii="宋体" w:hAnsi="宋体" w:cs="宋体"/>
                <w:bCs/>
                <w:color w:val="auto"/>
                <w:szCs w:val="21"/>
                <w:highlight w:val="none"/>
              </w:rPr>
              <w:t>2.定期对垃圾桶进行消杀，保持垃圾桶内外干净、整洁</w:t>
            </w:r>
          </w:p>
        </w:tc>
        <w:tc>
          <w:tcPr>
            <w:tcW w:w="0" w:type="auto"/>
            <w:vMerge w:val="continue"/>
            <w:vAlign w:val="center"/>
          </w:tcPr>
          <w:p w14:paraId="0AA8CA00">
            <w:pPr>
              <w:jc w:val="center"/>
              <w:rPr>
                <w:rFonts w:hint="eastAsia" w:ascii="宋体" w:hAnsi="宋体" w:cs="宋体"/>
                <w:bCs/>
                <w:color w:val="auto"/>
                <w:szCs w:val="21"/>
                <w:highlight w:val="none"/>
              </w:rPr>
            </w:pPr>
          </w:p>
        </w:tc>
      </w:tr>
      <w:tr w14:paraId="6D3F0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 w:hRule="atLeast"/>
          <w:jc w:val="center"/>
        </w:trPr>
        <w:tc>
          <w:tcPr>
            <w:tcW w:w="0" w:type="auto"/>
            <w:vMerge w:val="continue"/>
            <w:vAlign w:val="center"/>
          </w:tcPr>
          <w:p w14:paraId="020B059A">
            <w:pPr>
              <w:jc w:val="center"/>
              <w:rPr>
                <w:rFonts w:hint="eastAsia" w:ascii="宋体" w:hAnsi="宋体" w:cs="宋体"/>
                <w:bCs/>
                <w:color w:val="auto"/>
                <w:szCs w:val="21"/>
                <w:highlight w:val="none"/>
              </w:rPr>
            </w:pPr>
          </w:p>
        </w:tc>
        <w:tc>
          <w:tcPr>
            <w:tcW w:w="0" w:type="auto"/>
          </w:tcPr>
          <w:p w14:paraId="7BE290A0">
            <w:pPr>
              <w:rPr>
                <w:rFonts w:hint="eastAsia" w:ascii="宋体" w:hAnsi="宋体" w:cs="宋体"/>
                <w:bCs/>
                <w:color w:val="auto"/>
                <w:szCs w:val="21"/>
                <w:highlight w:val="none"/>
              </w:rPr>
            </w:pPr>
            <w:r>
              <w:rPr>
                <w:rFonts w:hint="eastAsia" w:ascii="宋体" w:hAnsi="宋体" w:cs="宋体"/>
                <w:bCs/>
                <w:color w:val="auto"/>
                <w:szCs w:val="21"/>
                <w:highlight w:val="none"/>
              </w:rPr>
              <w:t>3.做好各类巡查、监督考核、投诉处理等日常台账工作。</w:t>
            </w:r>
          </w:p>
        </w:tc>
        <w:tc>
          <w:tcPr>
            <w:tcW w:w="0" w:type="auto"/>
            <w:vMerge w:val="continue"/>
            <w:vAlign w:val="center"/>
          </w:tcPr>
          <w:p w14:paraId="3DD3465C">
            <w:pPr>
              <w:jc w:val="center"/>
              <w:rPr>
                <w:rFonts w:hint="eastAsia" w:ascii="宋体" w:hAnsi="宋体" w:cs="宋体"/>
                <w:bCs/>
                <w:color w:val="auto"/>
                <w:szCs w:val="21"/>
                <w:highlight w:val="none"/>
              </w:rPr>
            </w:pPr>
          </w:p>
        </w:tc>
      </w:tr>
      <w:tr w14:paraId="19FCB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 w:hRule="atLeast"/>
          <w:jc w:val="center"/>
        </w:trPr>
        <w:tc>
          <w:tcPr>
            <w:tcW w:w="0" w:type="auto"/>
            <w:vMerge w:val="restart"/>
            <w:vAlign w:val="center"/>
          </w:tcPr>
          <w:p w14:paraId="262758CB">
            <w:pPr>
              <w:jc w:val="center"/>
              <w:rPr>
                <w:rFonts w:hint="eastAsia" w:ascii="宋体" w:hAnsi="宋体" w:cs="宋体"/>
                <w:bCs/>
                <w:color w:val="auto"/>
                <w:szCs w:val="21"/>
                <w:highlight w:val="none"/>
              </w:rPr>
            </w:pPr>
            <w:r>
              <w:rPr>
                <w:rFonts w:hint="eastAsia" w:ascii="宋体" w:hAnsi="宋体" w:cs="宋体"/>
                <w:bCs/>
                <w:color w:val="auto"/>
                <w:szCs w:val="21"/>
                <w:highlight w:val="none"/>
              </w:rPr>
              <w:t>F</w:t>
            </w:r>
          </w:p>
        </w:tc>
        <w:tc>
          <w:tcPr>
            <w:tcW w:w="0" w:type="auto"/>
            <w:shd w:val="clear" w:color="auto" w:fill="C0C0C0"/>
            <w:vAlign w:val="center"/>
          </w:tcPr>
          <w:p w14:paraId="4E861AD1">
            <w:pPr>
              <w:jc w:val="center"/>
              <w:rPr>
                <w:rFonts w:hint="eastAsia" w:ascii="宋体" w:hAnsi="宋体" w:cs="宋体"/>
                <w:bCs/>
                <w:color w:val="auto"/>
                <w:szCs w:val="21"/>
                <w:highlight w:val="none"/>
              </w:rPr>
            </w:pPr>
            <w:r>
              <w:rPr>
                <w:rFonts w:hint="eastAsia" w:ascii="宋体" w:hAnsi="宋体" w:cs="宋体"/>
                <w:bCs/>
                <w:color w:val="auto"/>
                <w:szCs w:val="21"/>
                <w:highlight w:val="none"/>
              </w:rPr>
              <w:t>加分内容</w:t>
            </w:r>
          </w:p>
        </w:tc>
        <w:tc>
          <w:tcPr>
            <w:tcW w:w="0" w:type="auto"/>
            <w:shd w:val="clear" w:color="auto" w:fill="C0C0C0"/>
            <w:vAlign w:val="center"/>
          </w:tcPr>
          <w:p w14:paraId="09BFB12D">
            <w:pPr>
              <w:jc w:val="center"/>
              <w:rPr>
                <w:rFonts w:hint="eastAsia" w:ascii="宋体" w:hAnsi="宋体" w:cs="宋体"/>
                <w:bCs/>
                <w:color w:val="auto"/>
                <w:szCs w:val="21"/>
                <w:highlight w:val="none"/>
              </w:rPr>
            </w:pPr>
            <w:r>
              <w:rPr>
                <w:rFonts w:hint="eastAsia" w:ascii="宋体" w:hAnsi="宋体" w:cs="宋体"/>
                <w:bCs/>
                <w:color w:val="auto"/>
                <w:szCs w:val="21"/>
                <w:highlight w:val="none"/>
              </w:rPr>
              <w:t>10</w:t>
            </w:r>
          </w:p>
        </w:tc>
      </w:tr>
      <w:tr w14:paraId="5A4AA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 w:hRule="atLeast"/>
          <w:jc w:val="center"/>
        </w:trPr>
        <w:tc>
          <w:tcPr>
            <w:tcW w:w="0" w:type="auto"/>
            <w:vMerge w:val="continue"/>
            <w:vAlign w:val="center"/>
          </w:tcPr>
          <w:p w14:paraId="0F3A4173">
            <w:pPr>
              <w:jc w:val="center"/>
              <w:rPr>
                <w:rFonts w:hint="eastAsia" w:ascii="宋体" w:hAnsi="宋体" w:cs="宋体"/>
                <w:bCs/>
                <w:color w:val="auto"/>
                <w:szCs w:val="21"/>
                <w:highlight w:val="none"/>
              </w:rPr>
            </w:pPr>
          </w:p>
        </w:tc>
        <w:tc>
          <w:tcPr>
            <w:tcW w:w="0" w:type="auto"/>
            <w:vAlign w:val="center"/>
          </w:tcPr>
          <w:p w14:paraId="48ED94F2">
            <w:pPr>
              <w:rPr>
                <w:rFonts w:hint="eastAsia" w:ascii="宋体" w:hAnsi="宋体" w:cs="宋体"/>
                <w:bCs/>
                <w:color w:val="auto"/>
                <w:szCs w:val="21"/>
                <w:highlight w:val="none"/>
              </w:rPr>
            </w:pPr>
            <w:r>
              <w:rPr>
                <w:rFonts w:hint="eastAsia" w:ascii="宋体" w:hAnsi="宋体" w:cs="宋体"/>
                <w:bCs/>
                <w:color w:val="auto"/>
                <w:szCs w:val="21"/>
                <w:highlight w:val="none"/>
              </w:rPr>
              <w:t>1．受到住院患者、科室工作人员、院方书面表扬</w:t>
            </w:r>
          </w:p>
        </w:tc>
        <w:tc>
          <w:tcPr>
            <w:tcW w:w="0" w:type="auto"/>
            <w:vMerge w:val="restart"/>
            <w:vAlign w:val="center"/>
          </w:tcPr>
          <w:p w14:paraId="5D77DC48">
            <w:pPr>
              <w:jc w:val="center"/>
              <w:rPr>
                <w:rFonts w:hint="eastAsia" w:ascii="宋体" w:hAnsi="宋体" w:cs="宋体"/>
                <w:bCs/>
                <w:color w:val="auto"/>
                <w:szCs w:val="21"/>
                <w:highlight w:val="none"/>
              </w:rPr>
            </w:pPr>
          </w:p>
        </w:tc>
      </w:tr>
      <w:tr w14:paraId="3C297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0" w:type="auto"/>
            <w:vMerge w:val="continue"/>
            <w:vAlign w:val="center"/>
          </w:tcPr>
          <w:p w14:paraId="7C8B1863">
            <w:pPr>
              <w:jc w:val="center"/>
              <w:rPr>
                <w:rFonts w:hint="eastAsia" w:ascii="宋体" w:hAnsi="宋体" w:cs="宋体"/>
                <w:bCs/>
                <w:color w:val="auto"/>
                <w:szCs w:val="21"/>
                <w:highlight w:val="none"/>
              </w:rPr>
            </w:pPr>
          </w:p>
        </w:tc>
        <w:tc>
          <w:tcPr>
            <w:tcW w:w="0" w:type="auto"/>
            <w:vAlign w:val="center"/>
          </w:tcPr>
          <w:p w14:paraId="7F338D90">
            <w:pPr>
              <w:rPr>
                <w:rFonts w:hint="eastAsia" w:ascii="宋体" w:hAnsi="宋体" w:cs="宋体"/>
                <w:bCs/>
                <w:color w:val="auto"/>
                <w:szCs w:val="21"/>
                <w:highlight w:val="none"/>
              </w:rPr>
            </w:pPr>
            <w:r>
              <w:rPr>
                <w:rFonts w:hint="eastAsia" w:ascii="宋体" w:hAnsi="宋体" w:cs="宋体"/>
                <w:bCs/>
                <w:color w:val="auto"/>
                <w:szCs w:val="21"/>
                <w:highlight w:val="none"/>
              </w:rPr>
              <w:t>2．受到新闻媒体、行业协会、行政主管部门等表扬。</w:t>
            </w:r>
          </w:p>
        </w:tc>
        <w:tc>
          <w:tcPr>
            <w:tcW w:w="0" w:type="auto"/>
            <w:vMerge w:val="continue"/>
            <w:vAlign w:val="center"/>
          </w:tcPr>
          <w:p w14:paraId="77CADA66">
            <w:pPr>
              <w:rPr>
                <w:rFonts w:hint="eastAsia" w:ascii="宋体" w:hAnsi="宋体" w:cs="宋体"/>
                <w:bCs/>
                <w:color w:val="auto"/>
                <w:szCs w:val="21"/>
                <w:highlight w:val="none"/>
              </w:rPr>
            </w:pPr>
          </w:p>
        </w:tc>
      </w:tr>
      <w:tr w14:paraId="15634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0" w:type="auto"/>
            <w:vMerge w:val="continue"/>
            <w:vAlign w:val="center"/>
          </w:tcPr>
          <w:p w14:paraId="1E9862A8">
            <w:pPr>
              <w:jc w:val="center"/>
              <w:rPr>
                <w:rFonts w:hint="eastAsia" w:ascii="宋体" w:hAnsi="宋体" w:cs="宋体"/>
                <w:bCs/>
                <w:color w:val="auto"/>
                <w:szCs w:val="21"/>
                <w:highlight w:val="none"/>
              </w:rPr>
            </w:pPr>
          </w:p>
        </w:tc>
        <w:tc>
          <w:tcPr>
            <w:tcW w:w="0" w:type="auto"/>
            <w:vAlign w:val="center"/>
          </w:tcPr>
          <w:p w14:paraId="570D8BD0">
            <w:pPr>
              <w:rPr>
                <w:rFonts w:hint="eastAsia" w:ascii="宋体" w:hAnsi="宋体" w:cs="宋体"/>
                <w:bCs/>
                <w:color w:val="auto"/>
                <w:szCs w:val="21"/>
                <w:highlight w:val="none"/>
              </w:rPr>
            </w:pPr>
            <w:r>
              <w:rPr>
                <w:rFonts w:hint="eastAsia" w:ascii="宋体" w:hAnsi="宋体" w:cs="宋体"/>
                <w:bCs/>
                <w:color w:val="auto"/>
                <w:szCs w:val="21"/>
                <w:highlight w:val="none"/>
              </w:rPr>
              <w:t>3．协助院方评为国家、省、市先进或同等奖项</w:t>
            </w:r>
          </w:p>
        </w:tc>
        <w:tc>
          <w:tcPr>
            <w:tcW w:w="0" w:type="auto"/>
            <w:vMerge w:val="continue"/>
            <w:vAlign w:val="center"/>
          </w:tcPr>
          <w:p w14:paraId="3DB9A106">
            <w:pPr>
              <w:rPr>
                <w:rFonts w:hint="eastAsia" w:ascii="宋体" w:hAnsi="宋体" w:cs="宋体"/>
                <w:bCs/>
                <w:color w:val="auto"/>
                <w:szCs w:val="21"/>
                <w:highlight w:val="none"/>
              </w:rPr>
            </w:pPr>
          </w:p>
        </w:tc>
      </w:tr>
      <w:tr w14:paraId="6CF10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0" w:type="auto"/>
            <w:vMerge w:val="continue"/>
            <w:vAlign w:val="center"/>
          </w:tcPr>
          <w:p w14:paraId="1C288EFB">
            <w:pPr>
              <w:jc w:val="center"/>
              <w:rPr>
                <w:rFonts w:hint="eastAsia" w:ascii="宋体" w:hAnsi="宋体" w:cs="宋体"/>
                <w:bCs/>
                <w:color w:val="auto"/>
                <w:szCs w:val="21"/>
                <w:highlight w:val="none"/>
              </w:rPr>
            </w:pPr>
          </w:p>
        </w:tc>
        <w:tc>
          <w:tcPr>
            <w:tcW w:w="0" w:type="auto"/>
            <w:vAlign w:val="center"/>
          </w:tcPr>
          <w:p w14:paraId="5B01F711">
            <w:pPr>
              <w:rPr>
                <w:rFonts w:hint="eastAsia" w:ascii="宋体" w:hAnsi="宋体" w:cs="宋体"/>
                <w:bCs/>
                <w:color w:val="auto"/>
                <w:szCs w:val="21"/>
                <w:highlight w:val="none"/>
              </w:rPr>
            </w:pPr>
            <w:r>
              <w:rPr>
                <w:rFonts w:hint="eastAsia" w:ascii="宋体" w:hAnsi="宋体" w:cs="宋体"/>
                <w:bCs/>
                <w:color w:val="auto"/>
                <w:szCs w:val="21"/>
                <w:highlight w:val="none"/>
              </w:rPr>
              <w:t>4．完成合同中院方委托的服务管理项目内容，成绩优良，使甲方得到政府和社会机构颁发的荣誉</w:t>
            </w:r>
          </w:p>
        </w:tc>
        <w:tc>
          <w:tcPr>
            <w:tcW w:w="0" w:type="auto"/>
            <w:vMerge w:val="continue"/>
            <w:vAlign w:val="center"/>
          </w:tcPr>
          <w:p w14:paraId="757036BE">
            <w:pPr>
              <w:rPr>
                <w:rFonts w:hint="eastAsia" w:ascii="宋体" w:hAnsi="宋体" w:cs="宋体"/>
                <w:bCs/>
                <w:color w:val="auto"/>
                <w:szCs w:val="21"/>
                <w:highlight w:val="none"/>
              </w:rPr>
            </w:pPr>
          </w:p>
        </w:tc>
      </w:tr>
      <w:tr w14:paraId="55428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 w:hRule="atLeast"/>
          <w:jc w:val="center"/>
        </w:trPr>
        <w:tc>
          <w:tcPr>
            <w:tcW w:w="0" w:type="auto"/>
            <w:vMerge w:val="continue"/>
            <w:vAlign w:val="center"/>
          </w:tcPr>
          <w:p w14:paraId="74FE614E">
            <w:pPr>
              <w:jc w:val="center"/>
              <w:rPr>
                <w:rFonts w:hint="eastAsia" w:ascii="宋体" w:hAnsi="宋体" w:cs="宋体"/>
                <w:bCs/>
                <w:color w:val="auto"/>
                <w:szCs w:val="21"/>
                <w:highlight w:val="none"/>
              </w:rPr>
            </w:pPr>
          </w:p>
        </w:tc>
        <w:tc>
          <w:tcPr>
            <w:tcW w:w="0" w:type="auto"/>
            <w:vAlign w:val="center"/>
          </w:tcPr>
          <w:p w14:paraId="5DE7DB8E">
            <w:pPr>
              <w:rPr>
                <w:rFonts w:hint="eastAsia" w:ascii="宋体" w:hAnsi="宋体" w:cs="宋体"/>
                <w:bCs/>
                <w:color w:val="auto"/>
                <w:szCs w:val="21"/>
                <w:highlight w:val="none"/>
              </w:rPr>
            </w:pPr>
            <w:r>
              <w:rPr>
                <w:rFonts w:hint="eastAsia" w:ascii="宋体" w:hAnsi="宋体" w:cs="宋体"/>
                <w:bCs/>
                <w:color w:val="auto"/>
                <w:szCs w:val="21"/>
                <w:highlight w:val="none"/>
              </w:rPr>
              <w:t>5．协助医院完成重大接待任务、临时突击任务加班加点</w:t>
            </w:r>
          </w:p>
        </w:tc>
        <w:tc>
          <w:tcPr>
            <w:tcW w:w="0" w:type="auto"/>
            <w:vMerge w:val="continue"/>
            <w:vAlign w:val="center"/>
          </w:tcPr>
          <w:p w14:paraId="22DEB7EB">
            <w:pPr>
              <w:rPr>
                <w:rFonts w:hint="eastAsia" w:ascii="宋体" w:hAnsi="宋体" w:cs="宋体"/>
                <w:bCs/>
                <w:color w:val="auto"/>
                <w:szCs w:val="21"/>
                <w:highlight w:val="none"/>
              </w:rPr>
            </w:pPr>
          </w:p>
        </w:tc>
      </w:tr>
      <w:tr w14:paraId="0E1D7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 w:hRule="atLeast"/>
          <w:jc w:val="center"/>
        </w:trPr>
        <w:tc>
          <w:tcPr>
            <w:tcW w:w="0" w:type="auto"/>
            <w:vMerge w:val="continue"/>
            <w:vAlign w:val="center"/>
          </w:tcPr>
          <w:p w14:paraId="74C1E885">
            <w:pPr>
              <w:jc w:val="center"/>
              <w:rPr>
                <w:rFonts w:hint="eastAsia" w:ascii="宋体" w:hAnsi="宋体" w:cs="宋体"/>
                <w:bCs/>
                <w:color w:val="auto"/>
                <w:szCs w:val="21"/>
                <w:highlight w:val="none"/>
              </w:rPr>
            </w:pPr>
          </w:p>
        </w:tc>
        <w:tc>
          <w:tcPr>
            <w:tcW w:w="0" w:type="auto"/>
            <w:vAlign w:val="center"/>
          </w:tcPr>
          <w:p w14:paraId="4E022A01">
            <w:pPr>
              <w:rPr>
                <w:rFonts w:hint="eastAsia" w:ascii="宋体" w:hAnsi="宋体" w:cs="宋体"/>
                <w:bCs/>
                <w:color w:val="auto"/>
                <w:szCs w:val="21"/>
                <w:highlight w:val="none"/>
              </w:rPr>
            </w:pPr>
            <w:r>
              <w:rPr>
                <w:rFonts w:hint="eastAsia" w:ascii="宋体" w:hAnsi="宋体" w:cs="宋体"/>
                <w:bCs/>
                <w:color w:val="auto"/>
                <w:szCs w:val="21"/>
                <w:highlight w:val="none"/>
              </w:rPr>
              <w:t>6.其它如控制恶性事件发生、拾金不昧、助人为乐等</w:t>
            </w:r>
          </w:p>
        </w:tc>
        <w:tc>
          <w:tcPr>
            <w:tcW w:w="0" w:type="auto"/>
            <w:vMerge w:val="continue"/>
            <w:vAlign w:val="center"/>
          </w:tcPr>
          <w:p w14:paraId="44125396">
            <w:pPr>
              <w:rPr>
                <w:rFonts w:hint="eastAsia" w:ascii="宋体" w:hAnsi="宋体" w:cs="宋体"/>
                <w:bCs/>
                <w:color w:val="auto"/>
                <w:szCs w:val="21"/>
                <w:highlight w:val="none"/>
              </w:rPr>
            </w:pPr>
          </w:p>
        </w:tc>
      </w:tr>
      <w:tr w14:paraId="4E227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0" w:type="auto"/>
            <w:vMerge w:val="restart"/>
            <w:vAlign w:val="center"/>
          </w:tcPr>
          <w:p w14:paraId="1BA6E257">
            <w:pPr>
              <w:jc w:val="center"/>
              <w:rPr>
                <w:rFonts w:hint="eastAsia" w:ascii="宋体" w:hAnsi="宋体" w:cs="宋体"/>
                <w:bCs/>
                <w:color w:val="auto"/>
                <w:szCs w:val="21"/>
                <w:highlight w:val="none"/>
              </w:rPr>
            </w:pPr>
            <w:r>
              <w:rPr>
                <w:rFonts w:hint="eastAsia" w:ascii="宋体" w:hAnsi="宋体" w:cs="宋体"/>
                <w:bCs/>
                <w:color w:val="auto"/>
                <w:szCs w:val="21"/>
                <w:highlight w:val="none"/>
              </w:rPr>
              <w:t>备注</w:t>
            </w:r>
          </w:p>
        </w:tc>
        <w:tc>
          <w:tcPr>
            <w:tcW w:w="0" w:type="auto"/>
            <w:gridSpan w:val="2"/>
            <w:vAlign w:val="center"/>
          </w:tcPr>
          <w:p w14:paraId="6C45D5A8">
            <w:pPr>
              <w:rPr>
                <w:rFonts w:hint="eastAsia" w:ascii="宋体" w:hAnsi="宋体" w:cs="宋体"/>
                <w:bCs/>
                <w:color w:val="auto"/>
                <w:szCs w:val="21"/>
                <w:highlight w:val="none"/>
              </w:rPr>
            </w:pPr>
            <w:r>
              <w:rPr>
                <w:rFonts w:hint="eastAsia" w:ascii="宋体" w:hAnsi="宋体" w:cs="宋体"/>
                <w:bCs/>
                <w:color w:val="auto"/>
                <w:szCs w:val="21"/>
                <w:highlight w:val="none"/>
              </w:rPr>
              <w:t>1、因乙方消防管理失误，造成火灾等重大人员伤亡恶性事件，给医院方造成重大影响的，</w:t>
            </w:r>
            <w:bookmarkStart w:id="66" w:name="_Hlk86216962"/>
            <w:r>
              <w:rPr>
                <w:rFonts w:hint="eastAsia" w:ascii="宋体" w:hAnsi="宋体" w:cs="宋体"/>
                <w:bCs/>
                <w:color w:val="auto"/>
                <w:szCs w:val="21"/>
                <w:highlight w:val="none"/>
              </w:rPr>
              <w:t>扣除当月所有管理费用</w:t>
            </w:r>
            <w:bookmarkEnd w:id="66"/>
            <w:r>
              <w:rPr>
                <w:rFonts w:hint="eastAsia" w:ascii="宋体" w:hAnsi="宋体" w:cs="宋体"/>
                <w:bCs/>
                <w:color w:val="auto"/>
                <w:szCs w:val="21"/>
                <w:highlight w:val="none"/>
              </w:rPr>
              <w:t>，乙方承担相应法律责任及经济赔偿。</w:t>
            </w:r>
          </w:p>
        </w:tc>
      </w:tr>
      <w:tr w14:paraId="7458C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0" w:type="auto"/>
            <w:vMerge w:val="continue"/>
            <w:vAlign w:val="center"/>
          </w:tcPr>
          <w:p w14:paraId="1AE61184">
            <w:pPr>
              <w:jc w:val="center"/>
              <w:rPr>
                <w:rFonts w:hint="eastAsia" w:ascii="宋体" w:hAnsi="宋体" w:cs="宋体"/>
                <w:bCs/>
                <w:color w:val="auto"/>
                <w:szCs w:val="21"/>
                <w:highlight w:val="none"/>
              </w:rPr>
            </w:pPr>
          </w:p>
        </w:tc>
        <w:tc>
          <w:tcPr>
            <w:tcW w:w="0" w:type="auto"/>
            <w:gridSpan w:val="2"/>
            <w:vAlign w:val="center"/>
          </w:tcPr>
          <w:p w14:paraId="073AC308">
            <w:pPr>
              <w:rPr>
                <w:rFonts w:hint="eastAsia" w:ascii="宋体" w:hAnsi="宋体" w:cs="宋体"/>
                <w:bCs/>
                <w:color w:val="auto"/>
                <w:szCs w:val="21"/>
                <w:highlight w:val="none"/>
              </w:rPr>
            </w:pPr>
            <w:r>
              <w:rPr>
                <w:rFonts w:hint="eastAsia" w:ascii="宋体" w:hAnsi="宋体" w:cs="宋体"/>
                <w:bCs/>
                <w:color w:val="auto"/>
                <w:szCs w:val="21"/>
                <w:highlight w:val="none"/>
              </w:rPr>
              <w:t>2、因乙方未严格执行食品卫生的有关规定，造成工作人员或病人食物中毒者乙方除承担区卫生监督所的行政处罚外，并承担受害人相应的经济损失，甲方根据事件后果严重程度在该半年绩效奖金中给予乙方500-5000元的处罚，如需承担法律责任的还应承担相应法律责任。</w:t>
            </w:r>
          </w:p>
        </w:tc>
      </w:tr>
      <w:tr w14:paraId="66C6B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0" w:type="auto"/>
            <w:vMerge w:val="continue"/>
            <w:vAlign w:val="center"/>
          </w:tcPr>
          <w:p w14:paraId="0CF2D86E">
            <w:pPr>
              <w:jc w:val="center"/>
              <w:rPr>
                <w:rFonts w:hint="eastAsia" w:ascii="宋体" w:hAnsi="宋体" w:cs="宋体"/>
                <w:bCs/>
                <w:color w:val="auto"/>
                <w:szCs w:val="21"/>
                <w:highlight w:val="none"/>
              </w:rPr>
            </w:pPr>
          </w:p>
        </w:tc>
        <w:tc>
          <w:tcPr>
            <w:tcW w:w="0" w:type="auto"/>
            <w:gridSpan w:val="2"/>
            <w:vAlign w:val="center"/>
          </w:tcPr>
          <w:p w14:paraId="5B65ADBB">
            <w:pPr>
              <w:rPr>
                <w:rFonts w:hint="eastAsia" w:ascii="宋体" w:hAnsi="宋体" w:cs="宋体"/>
                <w:bCs/>
                <w:color w:val="auto"/>
                <w:szCs w:val="21"/>
                <w:highlight w:val="none"/>
              </w:rPr>
            </w:pPr>
            <w:r>
              <w:rPr>
                <w:rFonts w:hint="eastAsia" w:ascii="宋体" w:hAnsi="宋体" w:cs="宋体"/>
                <w:bCs/>
                <w:color w:val="auto"/>
                <w:szCs w:val="21"/>
                <w:highlight w:val="none"/>
              </w:rPr>
              <w:t>3、因乙方未按要求定期进行安全生产维护，造成不良后果者，甲方在该半年绩效奖金中给予乙方500-5000元处罚。</w:t>
            </w:r>
          </w:p>
        </w:tc>
      </w:tr>
    </w:tbl>
    <w:p w14:paraId="70ED72A0">
      <w:pPr>
        <w:tabs>
          <w:tab w:val="left" w:pos="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2.考核方式：每月考核。</w:t>
      </w:r>
    </w:p>
    <w:p w14:paraId="605351D2">
      <w:pPr>
        <w:tabs>
          <w:tab w:val="left" w:pos="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合同期间，如出现重大综合管理缺陷（乙方工作人员连续一周未满足采购文件要求的，视为重大管理缺陷，经甲方同意除外），甲方有权扣除相应的月度服务费用（具体费用由甲方根据缺陷情况商议后确定）。若连续出现2次类似缺陷视为违约行为，甲方有权解除合同。</w:t>
      </w:r>
    </w:p>
    <w:p w14:paraId="7776BC21">
      <w:pPr>
        <w:tabs>
          <w:tab w:val="left" w:pos="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每月根据实际考核情况由甲方进行考核，每半年根据每月实际考核情况（6个月考核平均成绩），平均考核分数≥80分，医院方不扣除服务费；75分≤平均考核分数＜80分，医院方从次月服务费中扣除1万元；70分≤平均考核分数＜75分，医院方从次月服务费中扣除2万元；低于70分，医院方从次月服务费中扣除3万元。具体考核详见考核表</w:t>
      </w:r>
    </w:p>
    <w:p w14:paraId="211C2BD6">
      <w:pPr>
        <w:tabs>
          <w:tab w:val="left" w:pos="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六、其他说明：</w:t>
      </w:r>
    </w:p>
    <w:p w14:paraId="50CA6F4E">
      <w:pPr>
        <w:tabs>
          <w:tab w:val="left" w:pos="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1、成交人的服务被投诉经核实且责任方为成交人的每季度不得超过5次，如果累计2个季度超过10次（含10次）；或造成重大社会影响的，采购人有权可以无条件终止合同且有权不予支付任何费用。</w:t>
      </w:r>
    </w:p>
    <w:p w14:paraId="011CF6E1">
      <w:pPr>
        <w:tabs>
          <w:tab w:val="left" w:pos="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成交人全部服务人员劳动合同须严格按《中华人民共和国劳动法》执行，全部服务人员应严格按国家有关法律、法规要求的标准、基数和比例缴纳养老金、医疗保险、失业保险、工伤、生育险和住房公积金等福利并需向采购人提供缴纳各类员工福利证明复印件。</w:t>
      </w:r>
    </w:p>
    <w:p w14:paraId="4F37CCA9">
      <w:pPr>
        <w:tabs>
          <w:tab w:val="left" w:pos="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工作过程中因成交人责任所造成的经济损失由成交人按实际金额赔偿；成交方员工出现违法、违纪、违规行为等所造成的一切后果及损失均由成交方承担；招标人有权视后果严重性予以单方直接解除合同并追究成交方全部责任。</w:t>
      </w:r>
    </w:p>
    <w:p w14:paraId="42638AB4">
      <w:pPr>
        <w:tabs>
          <w:tab w:val="left" w:pos="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4、采购人支付合同项下费用外不再承担其它任何费用（包括个人）。响应单位如因社保、医保或工资等问题与员工发生纠纷，应自行解决，不得牵涉到采购人。</w:t>
      </w:r>
    </w:p>
    <w:p w14:paraId="3BDF367E">
      <w:pPr>
        <w:tabs>
          <w:tab w:val="left" w:pos="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若成交人派驻采购人的人员造成采购人人员或任何第三人人身财产损失，若该第三人向采购人主张相应权利，则采购人依法代偿后，有权向成交人全额追偿，成交人不得以任何理由予以推脱；如发生推脱或未全额支付等情形，采购人有权直接解除合同并不予支付任何费用。</w:t>
      </w:r>
    </w:p>
    <w:p w14:paraId="7D3A5736">
      <w:pPr>
        <w:tabs>
          <w:tab w:val="left" w:pos="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6、乙方应与所有派驻医院的员工签订劳动合同。所有在医院服务的员工与医院不存在任何劳动关系，所涉及的任何劳动纠纷与医院无关。</w:t>
      </w:r>
    </w:p>
    <w:p w14:paraId="4230B1D8">
      <w:pPr>
        <w:tabs>
          <w:tab w:val="left" w:pos="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七、综合说明： </w:t>
      </w:r>
    </w:p>
    <w:p w14:paraId="612395CA">
      <w:pPr>
        <w:tabs>
          <w:tab w:val="left" w:pos="0"/>
        </w:tabs>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rPr>
        <w:t>1、响应单位需根据本项目编制服务管理工作组织计划方案及管理方案（包括服务管理运作流程设计和工作组织实施方案、服务总体模式与项目具体工作需求分析方案、服务的重点难点和解决措施方案、拟投入本项目的设备、器材及信息化管理配套设备的配备情况）</w:t>
      </w:r>
      <w:r>
        <w:rPr>
          <w:rFonts w:hint="eastAsia" w:ascii="宋体" w:hAnsi="宋体" w:cs="宋体"/>
          <w:color w:val="auto"/>
          <w:szCs w:val="21"/>
          <w:highlight w:val="none"/>
          <w:lang w:val="zh-CN"/>
        </w:rPr>
        <w:t>；</w:t>
      </w:r>
      <w:r>
        <w:rPr>
          <w:rFonts w:hint="eastAsia" w:ascii="宋体" w:hAnsi="宋体" w:cs="宋体"/>
          <w:color w:val="auto"/>
          <w:szCs w:val="21"/>
          <w:highlight w:val="none"/>
        </w:rPr>
        <w:t>本项目的</w:t>
      </w:r>
      <w:r>
        <w:rPr>
          <w:rFonts w:hint="eastAsia" w:ascii="宋体" w:hAnsi="宋体" w:cs="宋体"/>
          <w:color w:val="auto"/>
          <w:szCs w:val="21"/>
          <w:highlight w:val="none"/>
          <w:lang w:val="zh-CN"/>
        </w:rPr>
        <w:t>人员配备</w:t>
      </w:r>
      <w:r>
        <w:rPr>
          <w:rFonts w:hint="eastAsia" w:ascii="宋体" w:hAnsi="宋体" w:cs="宋体"/>
          <w:color w:val="auto"/>
          <w:szCs w:val="21"/>
          <w:highlight w:val="none"/>
        </w:rPr>
        <w:t>方案</w:t>
      </w:r>
      <w:r>
        <w:rPr>
          <w:rFonts w:hint="eastAsia" w:ascii="宋体" w:hAnsi="宋体" w:cs="宋体"/>
          <w:color w:val="auto"/>
          <w:szCs w:val="21"/>
          <w:highlight w:val="none"/>
          <w:lang w:val="zh-CN"/>
        </w:rPr>
        <w:t>，包括各类人员数量、专业素质及各岗位人员配置</w:t>
      </w:r>
      <w:r>
        <w:rPr>
          <w:rFonts w:hint="eastAsia" w:ascii="宋体" w:hAnsi="宋体" w:cs="宋体"/>
          <w:color w:val="auto"/>
          <w:szCs w:val="21"/>
          <w:highlight w:val="none"/>
        </w:rPr>
        <w:t>等</w:t>
      </w:r>
      <w:r>
        <w:rPr>
          <w:rFonts w:hint="eastAsia" w:ascii="宋体" w:hAnsi="宋体" w:cs="宋体"/>
          <w:color w:val="auto"/>
          <w:szCs w:val="21"/>
          <w:highlight w:val="none"/>
          <w:lang w:val="zh-CN"/>
        </w:rPr>
        <w:t>；</w:t>
      </w:r>
      <w:r>
        <w:rPr>
          <w:rFonts w:hint="eastAsia" w:ascii="宋体" w:hAnsi="宋体" w:cs="宋体"/>
          <w:color w:val="auto"/>
          <w:szCs w:val="21"/>
          <w:highlight w:val="none"/>
        </w:rPr>
        <w:t>突发事件的应急措施及医患纠纷处置措施方案；消防安全管理制度；服务人员管理规章制度及考核管理办法（包括服务人员安全文明规范、服务档案管理制度、服务人员考核制度及标准、培训计划、培训及支持方案）</w:t>
      </w:r>
      <w:r>
        <w:rPr>
          <w:rFonts w:hint="eastAsia" w:ascii="宋体" w:hAnsi="宋体" w:cs="宋体"/>
          <w:color w:val="auto"/>
          <w:szCs w:val="21"/>
          <w:highlight w:val="none"/>
          <w:lang w:val="zh-CN"/>
        </w:rPr>
        <w:t>；</w:t>
      </w:r>
      <w:r>
        <w:rPr>
          <w:rFonts w:hint="eastAsia" w:ascii="宋体" w:hAnsi="宋体" w:cs="宋体"/>
          <w:color w:val="auto"/>
          <w:szCs w:val="21"/>
          <w:highlight w:val="none"/>
        </w:rPr>
        <w:t>交接过渡工作方案等。</w:t>
      </w:r>
      <w:r>
        <w:rPr>
          <w:rFonts w:hint="eastAsia" w:ascii="宋体" w:hAnsi="宋体" w:cs="宋体"/>
          <w:color w:val="auto"/>
          <w:szCs w:val="21"/>
          <w:highlight w:val="none"/>
          <w:lang w:val="zh-CN"/>
        </w:rPr>
        <w:t xml:space="preserve"> </w:t>
      </w:r>
    </w:p>
    <w:p w14:paraId="2D365CEC">
      <w:pPr>
        <w:tabs>
          <w:tab w:val="left" w:pos="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响应单位所提供服务应能够至少达到或优于以上要求，并明确具体服务条款和达到的标准。响应单位必须承诺招标文件中提出的全部服务要求和必须达到的标准，如果以其中某些条款不响应时，应在文件中逐条列出，未列出的视同响应。</w:t>
      </w:r>
    </w:p>
    <w:p w14:paraId="19978ADA">
      <w:pPr>
        <w:tabs>
          <w:tab w:val="left" w:pos="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3、成交人在进驻采购人时要提供所有服务人员基本信息（身份证复印件，体检报告原件等）</w:t>
      </w:r>
    </w:p>
    <w:p w14:paraId="65B67AC0">
      <w:pPr>
        <w:tabs>
          <w:tab w:val="left" w:pos="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4、甲方后勤保障科等相关职能科室对成交单位的管理和调配工作进行监督检查，对甲方提出的要求，成交单位应及时响应；</w:t>
      </w:r>
    </w:p>
    <w:p w14:paraId="24900260">
      <w:pPr>
        <w:tabs>
          <w:tab w:val="left" w:pos="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5、甲方为成交单位提供水电、办公值班场所；</w:t>
      </w:r>
    </w:p>
    <w:p w14:paraId="43B7E28F">
      <w:pPr>
        <w:tabs>
          <w:tab w:val="left" w:pos="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6、成交单位管理人员及上岗员工统一着装，佩带工号牌上岗；</w:t>
      </w:r>
    </w:p>
    <w:p w14:paraId="007B5EF2">
      <w:pPr>
        <w:tabs>
          <w:tab w:val="left" w:pos="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7、成交单位应保持各岗位人员相对稳定，每月底将当月出勤表提供甲方认可；甲方对上岗员工有权提出调换，成交单位调换管理人员应经甲方同意，成交单位负责员工的培训、管理和交接，不得影响甲方正常工作运行；</w:t>
      </w:r>
    </w:p>
    <w:p w14:paraId="17F618F9">
      <w:pPr>
        <w:tabs>
          <w:tab w:val="left" w:pos="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8、成交单位应严格遵守双方确定的员工行为规范和管理规定；</w:t>
      </w:r>
    </w:p>
    <w:p w14:paraId="5728BEA1">
      <w:pPr>
        <w:tabs>
          <w:tab w:val="left" w:pos="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9、成交单位管理人员每天应到所服务的部门巡视，每周发放管理服务周检评价表，听取意见，及时整改。管理服务周检评价表上应有甲方部门负责人签名，甲方管理人员每月到成交单位所服务的部门发放考核表，作为甲方每月考核成交单位工作质量的依据双方每月底就当月考核进行协调和交流。</w:t>
      </w:r>
    </w:p>
    <w:p w14:paraId="51261857">
      <w:pPr>
        <w:tabs>
          <w:tab w:val="left" w:pos="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10、成交单位在管理时应要求员工注意节约水电，公共场所下班前负责关灯和空调，爱护甲方财物，造成他人或甲方损失，成交单位按价赔偿；</w:t>
      </w:r>
    </w:p>
    <w:p w14:paraId="3D80AEB4">
      <w:pPr>
        <w:tabs>
          <w:tab w:val="left" w:pos="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11、成交单位按需求提供服务，包括处理各项突发事件及紧急任务；成交单位需考虑各岗位人员工作时间，听从采购单位统一调配，采购单位不另外支付中标金额以外的任何费用。</w:t>
      </w:r>
    </w:p>
    <w:p w14:paraId="0CBAF4DA">
      <w:pPr>
        <w:tabs>
          <w:tab w:val="left" w:pos="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12、成交单位须保证在合同签订后、立即对所属员工进行管理，并由甲方对成交单位的管理每月进行考核，管理开始的具体日期在签订合同时确定。</w:t>
      </w:r>
    </w:p>
    <w:p w14:paraId="7B501147">
      <w:pPr>
        <w:tabs>
          <w:tab w:val="left" w:pos="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13、特殊岗位须持有特定上岗证。</w:t>
      </w:r>
    </w:p>
    <w:p w14:paraId="49B3D8F0">
      <w:pPr>
        <w:tabs>
          <w:tab w:val="left" w:pos="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14、投标人的从业人员要求：公司内部有岗前培训机构，服务人员100%经过岗前培训合格才上岗。 </w:t>
      </w:r>
    </w:p>
    <w:p w14:paraId="13964AAE">
      <w:pPr>
        <w:tabs>
          <w:tab w:val="left" w:pos="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15、投标人提供日常使用的环境消杀及清洁工具，如喷雾器、拖把、洗地机等。</w:t>
      </w:r>
    </w:p>
    <w:p w14:paraId="07BBA060">
      <w:pPr>
        <w:tabs>
          <w:tab w:val="left" w:pos="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16、所用消毒剂必须是通过国家卫生部审批准予使用的，并符合医院院感科的要求。</w:t>
      </w:r>
    </w:p>
    <w:p w14:paraId="440427F7">
      <w:pPr>
        <w:tabs>
          <w:tab w:val="left" w:pos="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17、对医院内医疗废弃物处理必须是符合医院院感科的要求。</w:t>
      </w:r>
    </w:p>
    <w:p w14:paraId="6E7E0532">
      <w:pPr>
        <w:tabs>
          <w:tab w:val="left" w:pos="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18、工作过程中因投标人责任所造成的经济损失由投标人按实际金额赔偿。</w:t>
      </w:r>
    </w:p>
    <w:p w14:paraId="739A4087">
      <w:pPr>
        <w:tabs>
          <w:tab w:val="left" w:pos="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19、投标人每年应将服务人员所有管理及培训资料交一份给医院后勤保障部，如有需要必须随时提供。</w:t>
      </w:r>
    </w:p>
    <w:p w14:paraId="7FAA7480">
      <w:pPr>
        <w:tabs>
          <w:tab w:val="left" w:pos="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20、成交单位有责任配合医院接受上级领导部门的监督、检查，并提供必须的材料。</w:t>
      </w:r>
    </w:p>
    <w:p w14:paraId="49443D46">
      <w:pPr>
        <w:tabs>
          <w:tab w:val="left" w:pos="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21、合同终止条款：如出现以下情况之一，采购单位有权无条件终止本合同：</w:t>
      </w:r>
    </w:p>
    <w:p w14:paraId="59EF7A20">
      <w:pPr>
        <w:tabs>
          <w:tab w:val="left" w:pos="0"/>
        </w:tabs>
        <w:spacing w:line="360" w:lineRule="auto"/>
        <w:ind w:firstLine="840"/>
        <w:rPr>
          <w:rFonts w:hint="eastAsia" w:ascii="宋体" w:hAnsi="宋体" w:cs="宋体"/>
          <w:color w:val="auto"/>
          <w:szCs w:val="21"/>
          <w:highlight w:val="none"/>
        </w:rPr>
      </w:pPr>
      <w:r>
        <w:rPr>
          <w:rFonts w:hint="eastAsia" w:ascii="宋体" w:hAnsi="宋体" w:cs="宋体"/>
          <w:color w:val="auto"/>
          <w:szCs w:val="21"/>
          <w:highlight w:val="none"/>
        </w:rPr>
        <w:t>员工季度流失率≥20%。</w:t>
      </w:r>
    </w:p>
    <w:p w14:paraId="532CF358">
      <w:pPr>
        <w:tabs>
          <w:tab w:val="left" w:pos="0"/>
        </w:tabs>
        <w:spacing w:line="360" w:lineRule="auto"/>
        <w:ind w:firstLine="840"/>
        <w:rPr>
          <w:rFonts w:hint="eastAsia" w:ascii="宋体" w:hAnsi="宋体" w:cs="宋体"/>
          <w:color w:val="auto"/>
          <w:szCs w:val="21"/>
          <w:highlight w:val="none"/>
        </w:rPr>
      </w:pPr>
      <w:r>
        <w:rPr>
          <w:rFonts w:hint="eastAsia" w:ascii="宋体" w:hAnsi="宋体" w:cs="宋体"/>
          <w:color w:val="auto"/>
          <w:szCs w:val="21"/>
          <w:highlight w:val="none"/>
        </w:rPr>
        <w:t xml:space="preserve">员工最低工资、社保、周末及节假日加班费、高温费以及国家规定的其他费用低于  国家最新标准。 </w:t>
      </w:r>
    </w:p>
    <w:p w14:paraId="7E804903">
      <w:pPr>
        <w:tabs>
          <w:tab w:val="left" w:pos="0"/>
        </w:tabs>
        <w:spacing w:line="360" w:lineRule="auto"/>
        <w:ind w:firstLine="840"/>
        <w:rPr>
          <w:rFonts w:hint="eastAsia" w:ascii="宋体" w:hAnsi="宋体" w:cs="宋体"/>
          <w:color w:val="auto"/>
          <w:szCs w:val="21"/>
          <w:highlight w:val="none"/>
        </w:rPr>
      </w:pPr>
      <w:r>
        <w:rPr>
          <w:rFonts w:hint="eastAsia" w:ascii="宋体" w:hAnsi="宋体" w:cs="宋体"/>
          <w:color w:val="auto"/>
          <w:szCs w:val="21"/>
          <w:highlight w:val="none"/>
        </w:rPr>
        <w:t>累积三次及以上月度考核低于80分。</w:t>
      </w:r>
    </w:p>
    <w:p w14:paraId="1A7DF453">
      <w:pPr>
        <w:tabs>
          <w:tab w:val="left" w:pos="0"/>
        </w:tabs>
        <w:spacing w:line="360" w:lineRule="auto"/>
        <w:ind w:firstLine="840"/>
        <w:rPr>
          <w:rFonts w:hint="eastAsia" w:ascii="宋体" w:hAnsi="宋体" w:cs="宋体"/>
          <w:color w:val="auto"/>
          <w:szCs w:val="21"/>
          <w:highlight w:val="none"/>
        </w:rPr>
      </w:pPr>
      <w:r>
        <w:rPr>
          <w:rFonts w:hint="eastAsia" w:ascii="宋体" w:hAnsi="宋体" w:cs="宋体"/>
          <w:color w:val="auto"/>
          <w:szCs w:val="21"/>
          <w:highlight w:val="none"/>
        </w:rPr>
        <w:t>试用期内预成交单位所提供的服务未能达到招标文件规定的标准或其投标承诺。</w:t>
      </w:r>
    </w:p>
    <w:p w14:paraId="6D12CDEB">
      <w:pPr>
        <w:tabs>
          <w:tab w:val="left" w:pos="0"/>
        </w:tabs>
        <w:spacing w:line="360" w:lineRule="auto"/>
        <w:ind w:firstLine="840"/>
        <w:rPr>
          <w:rFonts w:hint="eastAsia" w:ascii="宋体" w:hAnsi="宋体" w:cs="宋体"/>
          <w:color w:val="auto"/>
          <w:szCs w:val="21"/>
          <w:highlight w:val="none"/>
        </w:rPr>
      </w:pPr>
      <w:r>
        <w:rPr>
          <w:rFonts w:hint="eastAsia" w:ascii="宋体" w:hAnsi="宋体" w:cs="宋体"/>
          <w:color w:val="auto"/>
          <w:szCs w:val="21"/>
          <w:highlight w:val="none"/>
        </w:rPr>
        <w:t>出现严重失职行为，对医院造成重大损失；</w:t>
      </w:r>
    </w:p>
    <w:p w14:paraId="0572B24D">
      <w:pPr>
        <w:tabs>
          <w:tab w:val="left" w:pos="0"/>
        </w:tabs>
        <w:spacing w:line="360" w:lineRule="auto"/>
        <w:ind w:firstLine="840"/>
        <w:rPr>
          <w:rFonts w:hint="eastAsia" w:ascii="宋体" w:hAnsi="宋体" w:cs="宋体"/>
          <w:color w:val="auto"/>
          <w:szCs w:val="21"/>
          <w:highlight w:val="none"/>
        </w:rPr>
      </w:pPr>
      <w:r>
        <w:rPr>
          <w:rFonts w:hint="eastAsia" w:ascii="宋体" w:hAnsi="宋体" w:cs="宋体"/>
          <w:color w:val="auto"/>
          <w:szCs w:val="21"/>
          <w:highlight w:val="none"/>
        </w:rPr>
        <w:t>发生伤害病人及医院其他人员事件。</w:t>
      </w:r>
    </w:p>
    <w:p w14:paraId="1C2EE641">
      <w:pPr>
        <w:tabs>
          <w:tab w:val="left" w:pos="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22、合同终止时，成交单位应将相关服务资料交给医院。</w:t>
      </w:r>
    </w:p>
    <w:p w14:paraId="6A1EEFD5">
      <w:pPr>
        <w:tabs>
          <w:tab w:val="left" w:pos="0"/>
        </w:tabs>
        <w:spacing w:line="360" w:lineRule="auto"/>
        <w:ind w:firstLine="420"/>
        <w:rPr>
          <w:rFonts w:hint="eastAsia" w:ascii="宋体" w:hAnsi="宋体" w:cs="宋体"/>
          <w:color w:val="auto"/>
          <w:szCs w:val="21"/>
          <w:highlight w:val="none"/>
          <w:lang w:eastAsia="zh-CN"/>
        </w:rPr>
      </w:pPr>
      <w:r>
        <w:rPr>
          <w:rFonts w:hint="eastAsia" w:ascii="宋体" w:hAnsi="宋体" w:cs="宋体"/>
          <w:color w:val="auto"/>
          <w:szCs w:val="21"/>
          <w:highlight w:val="none"/>
        </w:rPr>
        <w:t>23、成交人工作人员在岗履行职责期间（包括上下班途中）发生自身的人身伤害、伤亡，意外等均由成交人负责处理并依法承担法律责任和道义上的责任，采购人不承担任何责任。任何法定机关通过仲裁裁决、法院判决及调解等形式判令采购人向该受害劳动者或其他受害人承担赔偿责任后，则采购人依法代偿后，有权向成交人全额追偿，成交不得以任何理由予以推脱；如发生推脱或未全额支付等情形，采购人有权直接解除合同并不予支付任何费用</w:t>
      </w:r>
      <w:r>
        <w:rPr>
          <w:rFonts w:hint="eastAsia" w:ascii="宋体" w:hAnsi="宋体" w:cs="宋体"/>
          <w:color w:val="auto"/>
          <w:szCs w:val="21"/>
          <w:highlight w:val="none"/>
          <w:lang w:eastAsia="zh-CN"/>
        </w:rPr>
        <w:t>。</w:t>
      </w:r>
    </w:p>
    <w:p w14:paraId="20EE8EEB">
      <w:pPr>
        <w:tabs>
          <w:tab w:val="left" w:pos="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24、因成交人管理不善等造成工作范围内的设施、设备等损坏的，采购单位有权要求成交人赔偿，情节严重的可终止合同并诉诸法律。</w:t>
      </w:r>
    </w:p>
    <w:p w14:paraId="7AED9599">
      <w:pPr>
        <w:tabs>
          <w:tab w:val="left" w:pos="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25、服务期满后或任何原因提前终止等，成交人所提供的为本项目服务的人员由成交人自行负责，采购人不承担任何义务与责任；成交人确保在服务期满前三月或提前终止前一周向成交人出具处置其服务人员的书面预案，并积极予以处置、确保服务期满或终止后一周内完善处置，如发生因此而对采购人造成损失等均由成交人承担赔偿责任、且须承担全部违约责任等。</w:t>
      </w:r>
    </w:p>
    <w:p w14:paraId="079112AF">
      <w:pPr>
        <w:tabs>
          <w:tab w:val="left" w:pos="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26、凡涉及招标文件的补充说明和修改，均以政府采购相关网站所发布的公告为准。</w:t>
      </w:r>
      <w:bookmarkEnd w:id="57"/>
    </w:p>
    <w:p w14:paraId="6386800A">
      <w:pPr>
        <w:rPr>
          <w:color w:val="auto"/>
          <w:sz w:val="44"/>
          <w:szCs w:val="44"/>
          <w:highlight w:val="none"/>
          <w:lang w:val="zh-CN"/>
        </w:rPr>
      </w:pPr>
      <w:r>
        <w:rPr>
          <w:color w:val="auto"/>
          <w:sz w:val="44"/>
          <w:szCs w:val="44"/>
          <w:highlight w:val="none"/>
          <w:lang w:val="zh-CN"/>
        </w:rPr>
        <w:br w:type="page" w:clear="all"/>
      </w:r>
    </w:p>
    <w:p w14:paraId="39EAEFE0">
      <w:pPr>
        <w:pStyle w:val="39"/>
        <w:spacing w:after="312"/>
        <w:outlineLvl w:val="0"/>
        <w:rPr>
          <w:rFonts w:ascii="Times New Roman" w:hAnsi="Times New Roman"/>
          <w:color w:val="auto"/>
          <w:sz w:val="44"/>
          <w:szCs w:val="44"/>
          <w:highlight w:val="none"/>
          <w:lang w:val="zh-CN"/>
        </w:rPr>
      </w:pPr>
      <w:r>
        <w:rPr>
          <w:rFonts w:ascii="Times New Roman" w:hAnsi="Times New Roman"/>
          <w:color w:val="auto"/>
          <w:sz w:val="44"/>
          <w:szCs w:val="44"/>
          <w:highlight w:val="none"/>
          <w:lang w:val="zh-CN"/>
        </w:rPr>
        <w:t>第</w:t>
      </w:r>
      <w:r>
        <w:rPr>
          <w:rFonts w:ascii="Times New Roman" w:hAnsi="Times New Roman"/>
          <w:color w:val="auto"/>
          <w:sz w:val="44"/>
          <w:szCs w:val="44"/>
          <w:highlight w:val="none"/>
        </w:rPr>
        <w:t>五</w:t>
      </w:r>
      <w:r>
        <w:rPr>
          <w:rFonts w:ascii="Times New Roman" w:hAnsi="Times New Roman"/>
          <w:color w:val="auto"/>
          <w:sz w:val="44"/>
          <w:szCs w:val="44"/>
          <w:highlight w:val="none"/>
          <w:lang w:val="zh-CN"/>
        </w:rPr>
        <w:t>章 合同的主要条款</w:t>
      </w:r>
      <w:bookmarkEnd w:id="58"/>
      <w:bookmarkEnd w:id="59"/>
      <w:bookmarkEnd w:id="60"/>
      <w:bookmarkEnd w:id="61"/>
    </w:p>
    <w:tbl>
      <w:tblPr>
        <w:tblStyle w:val="43"/>
        <w:tblW w:w="8942" w:type="dxa"/>
        <w:jc w:val="center"/>
        <w:tblLayout w:type="fixed"/>
        <w:tblCellMar>
          <w:top w:w="0" w:type="dxa"/>
          <w:left w:w="108" w:type="dxa"/>
          <w:bottom w:w="0" w:type="dxa"/>
          <w:right w:w="108" w:type="dxa"/>
        </w:tblCellMar>
      </w:tblPr>
      <w:tblGrid>
        <w:gridCol w:w="4746"/>
        <w:gridCol w:w="4196"/>
      </w:tblGrid>
      <w:tr w14:paraId="3686AF97">
        <w:tblPrEx>
          <w:tblCellMar>
            <w:top w:w="0" w:type="dxa"/>
            <w:left w:w="108" w:type="dxa"/>
            <w:bottom w:w="0" w:type="dxa"/>
            <w:right w:w="108" w:type="dxa"/>
          </w:tblCellMar>
        </w:tblPrEx>
        <w:trPr>
          <w:jc w:val="center"/>
        </w:trPr>
        <w:tc>
          <w:tcPr>
            <w:tcW w:w="4746" w:type="dxa"/>
            <w:vAlign w:val="center"/>
          </w:tcPr>
          <w:p w14:paraId="050141F7">
            <w:pPr>
              <w:spacing w:line="460" w:lineRule="exact"/>
              <w:rPr>
                <w:bCs/>
                <w:color w:val="auto"/>
                <w:szCs w:val="21"/>
                <w:highlight w:val="none"/>
              </w:rPr>
            </w:pPr>
            <w:bookmarkStart w:id="67" w:name="_Toc25724"/>
            <w:bookmarkStart w:id="68" w:name="_Toc8157"/>
            <w:bookmarkStart w:id="69" w:name="_Toc61514586"/>
            <w:bookmarkStart w:id="70" w:name="_Toc3201"/>
            <w:r>
              <w:rPr>
                <w:rFonts w:hint="eastAsia"/>
                <w:bCs/>
                <w:color w:val="auto"/>
                <w:szCs w:val="21"/>
                <w:highlight w:val="none"/>
              </w:rPr>
              <w:t>甲方（采购人）：</w:t>
            </w:r>
          </w:p>
        </w:tc>
        <w:tc>
          <w:tcPr>
            <w:tcW w:w="4196" w:type="dxa"/>
            <w:vAlign w:val="center"/>
          </w:tcPr>
          <w:p w14:paraId="1C4C4F30">
            <w:pPr>
              <w:spacing w:line="460" w:lineRule="exact"/>
              <w:rPr>
                <w:bCs/>
                <w:color w:val="auto"/>
                <w:szCs w:val="21"/>
                <w:highlight w:val="none"/>
              </w:rPr>
            </w:pPr>
            <w:r>
              <w:rPr>
                <w:rFonts w:hint="eastAsia"/>
                <w:bCs/>
                <w:color w:val="auto"/>
                <w:szCs w:val="21"/>
                <w:highlight w:val="none"/>
              </w:rPr>
              <w:t>单位地址：</w:t>
            </w:r>
          </w:p>
        </w:tc>
      </w:tr>
      <w:tr w14:paraId="4D8E033E">
        <w:tblPrEx>
          <w:tblCellMar>
            <w:top w:w="0" w:type="dxa"/>
            <w:left w:w="108" w:type="dxa"/>
            <w:bottom w:w="0" w:type="dxa"/>
            <w:right w:w="108" w:type="dxa"/>
          </w:tblCellMar>
        </w:tblPrEx>
        <w:trPr>
          <w:jc w:val="center"/>
        </w:trPr>
        <w:tc>
          <w:tcPr>
            <w:tcW w:w="4746" w:type="dxa"/>
            <w:vAlign w:val="center"/>
          </w:tcPr>
          <w:p w14:paraId="680B14D0">
            <w:pPr>
              <w:spacing w:line="460" w:lineRule="exact"/>
              <w:rPr>
                <w:rFonts w:hint="eastAsia" w:ascii="宋体" w:hAnsi="宋体"/>
                <w:bCs/>
                <w:color w:val="auto"/>
                <w:szCs w:val="21"/>
                <w:highlight w:val="none"/>
              </w:rPr>
            </w:pPr>
            <w:r>
              <w:rPr>
                <w:rFonts w:hint="eastAsia" w:ascii="宋体" w:hAnsi="宋体"/>
                <w:bCs/>
                <w:color w:val="auto"/>
                <w:szCs w:val="21"/>
                <w:highlight w:val="none"/>
              </w:rPr>
              <w:t>乙方（供应商）：</w:t>
            </w:r>
          </w:p>
        </w:tc>
        <w:tc>
          <w:tcPr>
            <w:tcW w:w="4196" w:type="dxa"/>
            <w:vAlign w:val="center"/>
          </w:tcPr>
          <w:p w14:paraId="0C2A4B0E">
            <w:pPr>
              <w:spacing w:line="460" w:lineRule="exact"/>
              <w:rPr>
                <w:rFonts w:hint="eastAsia" w:ascii="宋体" w:hAnsi="宋体"/>
                <w:bCs/>
                <w:color w:val="auto"/>
                <w:szCs w:val="21"/>
                <w:highlight w:val="none"/>
              </w:rPr>
            </w:pPr>
            <w:r>
              <w:rPr>
                <w:rFonts w:hint="eastAsia" w:ascii="宋体" w:hAnsi="宋体"/>
                <w:bCs/>
                <w:color w:val="auto"/>
                <w:szCs w:val="21"/>
                <w:highlight w:val="none"/>
              </w:rPr>
              <w:t>单位地址：</w:t>
            </w:r>
          </w:p>
        </w:tc>
      </w:tr>
      <w:tr w14:paraId="2C952EE8">
        <w:tblPrEx>
          <w:tblCellMar>
            <w:top w:w="0" w:type="dxa"/>
            <w:left w:w="108" w:type="dxa"/>
            <w:bottom w:w="0" w:type="dxa"/>
            <w:right w:w="108" w:type="dxa"/>
          </w:tblCellMar>
        </w:tblPrEx>
        <w:trPr>
          <w:jc w:val="center"/>
        </w:trPr>
        <w:tc>
          <w:tcPr>
            <w:tcW w:w="4746" w:type="dxa"/>
            <w:vAlign w:val="center"/>
          </w:tcPr>
          <w:p w14:paraId="5C1F5357">
            <w:pPr>
              <w:spacing w:line="460" w:lineRule="exact"/>
              <w:rPr>
                <w:rFonts w:hint="eastAsia" w:ascii="宋体" w:hAnsi="宋体"/>
                <w:bCs/>
                <w:color w:val="auto"/>
                <w:szCs w:val="21"/>
                <w:highlight w:val="none"/>
              </w:rPr>
            </w:pPr>
            <w:r>
              <w:rPr>
                <w:rFonts w:hint="eastAsia" w:ascii="宋体" w:hAnsi="宋体"/>
                <w:bCs/>
                <w:color w:val="auto"/>
                <w:szCs w:val="21"/>
                <w:highlight w:val="none"/>
              </w:rPr>
              <w:t>签订日期：</w:t>
            </w:r>
          </w:p>
        </w:tc>
        <w:tc>
          <w:tcPr>
            <w:tcW w:w="4196" w:type="dxa"/>
            <w:vAlign w:val="center"/>
          </w:tcPr>
          <w:p w14:paraId="38CD0713">
            <w:pPr>
              <w:spacing w:line="460" w:lineRule="exact"/>
              <w:rPr>
                <w:rFonts w:hint="eastAsia" w:ascii="宋体" w:hAnsi="宋体"/>
                <w:bCs/>
                <w:color w:val="auto"/>
                <w:szCs w:val="21"/>
                <w:highlight w:val="none"/>
              </w:rPr>
            </w:pPr>
            <w:r>
              <w:rPr>
                <w:rFonts w:hint="eastAsia" w:ascii="宋体" w:hAnsi="宋体"/>
                <w:bCs/>
                <w:color w:val="auto"/>
                <w:szCs w:val="21"/>
                <w:highlight w:val="none"/>
              </w:rPr>
              <w:t>签订地点：</w:t>
            </w:r>
          </w:p>
        </w:tc>
      </w:tr>
    </w:tbl>
    <w:p w14:paraId="72354D4D">
      <w:pPr>
        <w:spacing w:line="460" w:lineRule="exact"/>
        <w:ind w:firstLine="420"/>
        <w:jc w:val="left"/>
        <w:rPr>
          <w:rFonts w:hint="eastAsia" w:ascii="宋体" w:hAnsi="宋体" w:cs="仿宋_GB2312"/>
          <w:color w:val="auto"/>
          <w:szCs w:val="21"/>
          <w:highlight w:val="none"/>
        </w:rPr>
      </w:pPr>
      <w:r>
        <w:rPr>
          <w:rFonts w:hint="eastAsia" w:ascii="宋体" w:hAnsi="宋体" w:cs="仿宋_GB2312"/>
          <w:color w:val="auto"/>
          <w:szCs w:val="21"/>
          <w:highlight w:val="none"/>
        </w:rPr>
        <w:t>依据甲方委托</w:t>
      </w:r>
      <w:r>
        <w:rPr>
          <w:rFonts w:hint="eastAsia" w:ascii="宋体" w:hAnsi="宋体" w:cs="宋体"/>
          <w:color w:val="auto"/>
          <w:szCs w:val="21"/>
          <w:highlight w:val="none"/>
          <w:u w:val="single"/>
        </w:rPr>
        <w:t>苏州鼎力招投标咨询服务有限公司</w:t>
      </w:r>
      <w:r>
        <w:rPr>
          <w:rFonts w:hint="eastAsia" w:ascii="宋体" w:hAnsi="宋体" w:cs="仿宋_GB2312"/>
          <w:color w:val="auto"/>
          <w:szCs w:val="21"/>
          <w:highlight w:val="none"/>
        </w:rPr>
        <w:t>进行本项目政府采购</w:t>
      </w:r>
      <w:r>
        <w:rPr>
          <w:rFonts w:hint="eastAsia" w:ascii="宋体" w:hAnsi="宋体" w:cs="仿宋_GB2312"/>
          <w:color w:val="auto"/>
          <w:szCs w:val="21"/>
          <w:highlight w:val="none"/>
          <w:u w:val="single"/>
        </w:rPr>
        <w:t xml:space="preserve">          </w:t>
      </w:r>
      <w:r>
        <w:rPr>
          <w:rFonts w:hint="eastAsia" w:ascii="宋体" w:hAnsi="宋体" w:cs="仿宋_GB2312"/>
          <w:color w:val="auto"/>
          <w:szCs w:val="21"/>
          <w:highlight w:val="none"/>
        </w:rPr>
        <w:t>的成交结果，确定乙方为本次第标段成交供应商，现依照采购文件、乙方的响应文件及相关文件的内容，签订本合同书。</w:t>
      </w:r>
    </w:p>
    <w:p w14:paraId="01E366B5">
      <w:pPr>
        <w:spacing w:line="400" w:lineRule="exact"/>
        <w:rPr>
          <w:rFonts w:hint="eastAsia" w:ascii="宋体" w:hAnsi="宋体" w:cs="宋体"/>
          <w:b/>
          <w:color w:val="auto"/>
          <w:szCs w:val="21"/>
          <w:highlight w:val="none"/>
          <w:lang w:val="zh-CN"/>
        </w:rPr>
      </w:pPr>
      <w:r>
        <w:rPr>
          <w:rFonts w:hint="eastAsia" w:ascii="宋体" w:hAnsi="宋体" w:cs="宋体"/>
          <w:color w:val="auto"/>
          <w:szCs w:val="21"/>
          <w:highlight w:val="none"/>
          <w:lang w:val="zh-CN"/>
        </w:rPr>
        <w:t xml:space="preserve"> </w:t>
      </w:r>
      <w:r>
        <w:rPr>
          <w:rFonts w:hint="eastAsia" w:ascii="宋体" w:hAnsi="宋体" w:cs="宋体"/>
          <w:b/>
          <w:color w:val="auto"/>
          <w:szCs w:val="21"/>
          <w:highlight w:val="none"/>
          <w:lang w:val="zh-CN"/>
        </w:rPr>
        <w:t>一、合同内容：</w:t>
      </w:r>
    </w:p>
    <w:p w14:paraId="0BE7D83E">
      <w:pPr>
        <w:pStyle w:val="34"/>
        <w:spacing w:line="40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1、乙方负责</w:t>
      </w:r>
      <w:r>
        <w:rPr>
          <w:rFonts w:hint="eastAsia" w:ascii="宋体" w:hAnsi="宋体" w:cs="宋体"/>
          <w:color w:val="auto"/>
          <w:sz w:val="21"/>
          <w:szCs w:val="21"/>
          <w:highlight w:val="none"/>
        </w:rPr>
        <w:t>甲方的</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p>
    <w:p w14:paraId="585F75A0">
      <w:pPr>
        <w:spacing w:line="400" w:lineRule="exact"/>
        <w:ind w:firstLine="380"/>
        <w:rPr>
          <w:rFonts w:hint="eastAsia" w:ascii="宋体" w:hAnsi="宋体" w:cs="宋体"/>
          <w:color w:val="auto"/>
          <w:szCs w:val="21"/>
          <w:highlight w:val="none"/>
          <w:lang w:val="zh-CN"/>
        </w:rPr>
      </w:pPr>
      <w:r>
        <w:rPr>
          <w:rFonts w:hint="eastAsia" w:ascii="宋体" w:hAnsi="宋体" w:cs="宋体"/>
          <w:color w:val="auto"/>
          <w:szCs w:val="21"/>
          <w:highlight w:val="none"/>
        </w:rPr>
        <w:t>服务</w:t>
      </w:r>
      <w:r>
        <w:rPr>
          <w:rFonts w:hint="eastAsia" w:ascii="宋体" w:hAnsi="宋体" w:cs="宋体"/>
          <w:color w:val="auto"/>
          <w:szCs w:val="21"/>
          <w:highlight w:val="none"/>
          <w:lang w:val="zh-CN"/>
        </w:rPr>
        <w:t>时间</w:t>
      </w:r>
      <w:r>
        <w:rPr>
          <w:rFonts w:hint="eastAsia" w:ascii="宋体" w:hAnsi="宋体" w:cs="宋体"/>
          <w:color w:val="auto"/>
          <w:szCs w:val="21"/>
          <w:highlight w:val="none"/>
        </w:rPr>
        <w:t>两年，</w:t>
      </w:r>
      <w:r>
        <w:rPr>
          <w:rFonts w:hint="eastAsia" w:ascii="宋体" w:hAnsi="宋体" w:cs="宋体"/>
          <w:color w:val="auto"/>
          <w:szCs w:val="21"/>
          <w:highlight w:val="none"/>
          <w:lang w:val="zh-CN"/>
        </w:rPr>
        <w:t>自</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年</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月</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日至</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年</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月</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日。在协议有效期内一方不得擅自变更或中止此项协议，如未经双方同意，擅自变更或中止此项的一方要负违约责任。</w:t>
      </w:r>
    </w:p>
    <w:p w14:paraId="6130674F">
      <w:pPr>
        <w:spacing w:line="400" w:lineRule="exact"/>
        <w:ind w:firstLine="380"/>
        <w:rPr>
          <w:rFonts w:hint="eastAsia" w:ascii="宋体" w:hAnsi="宋体" w:cs="宋体"/>
          <w:color w:val="auto"/>
          <w:szCs w:val="21"/>
          <w:highlight w:val="none"/>
          <w:lang w:val="zh-CN"/>
        </w:rPr>
      </w:pPr>
      <w:r>
        <w:rPr>
          <w:rFonts w:hint="eastAsia" w:ascii="宋体" w:hAnsi="宋体" w:cs="宋体"/>
          <w:color w:val="auto"/>
          <w:szCs w:val="21"/>
          <w:highlight w:val="none"/>
          <w:lang w:val="zh-CN"/>
        </w:rPr>
        <w:t>2、下列文件为本合同不可分割部分：</w:t>
      </w:r>
    </w:p>
    <w:p w14:paraId="18F83DB5">
      <w:pPr>
        <w:spacing w:line="400" w:lineRule="exact"/>
        <w:ind w:firstLine="380"/>
        <w:rPr>
          <w:rFonts w:hint="eastAsia" w:ascii="宋体" w:hAnsi="宋体" w:cs="宋体"/>
          <w:color w:val="auto"/>
          <w:szCs w:val="21"/>
          <w:highlight w:val="none"/>
          <w:lang w:val="zh-CN"/>
        </w:rPr>
      </w:pPr>
      <w:r>
        <w:rPr>
          <w:rFonts w:hint="eastAsia" w:ascii="宋体" w:hAnsi="宋体" w:cs="宋体"/>
          <w:color w:val="auto"/>
          <w:szCs w:val="21"/>
          <w:highlight w:val="none"/>
          <w:lang w:val="zh-CN"/>
        </w:rPr>
        <w:t>（1）</w:t>
      </w:r>
      <w:r>
        <w:rPr>
          <w:rFonts w:hint="eastAsia" w:ascii="宋体" w:hAnsi="宋体" w:cs="宋体"/>
          <w:color w:val="auto"/>
          <w:szCs w:val="21"/>
          <w:highlight w:val="none"/>
        </w:rPr>
        <w:t>成交</w:t>
      </w:r>
      <w:r>
        <w:rPr>
          <w:rFonts w:hint="eastAsia" w:ascii="宋体" w:hAnsi="宋体" w:cs="宋体"/>
          <w:color w:val="auto"/>
          <w:szCs w:val="21"/>
          <w:highlight w:val="none"/>
          <w:lang w:val="zh-CN"/>
        </w:rPr>
        <w:t>通知书；</w:t>
      </w:r>
    </w:p>
    <w:p w14:paraId="066413D6">
      <w:pPr>
        <w:spacing w:line="400" w:lineRule="exact"/>
        <w:ind w:firstLine="380"/>
        <w:rPr>
          <w:rFonts w:hint="eastAsia" w:ascii="宋体" w:hAnsi="宋体" w:cs="宋体"/>
          <w:color w:val="auto"/>
          <w:szCs w:val="21"/>
          <w:highlight w:val="none"/>
          <w:lang w:val="zh-CN"/>
        </w:rPr>
      </w:pPr>
      <w:r>
        <w:rPr>
          <w:rFonts w:hint="eastAsia" w:ascii="宋体" w:hAnsi="宋体" w:cs="宋体"/>
          <w:color w:val="auto"/>
          <w:szCs w:val="21"/>
          <w:highlight w:val="none"/>
          <w:lang w:val="zh-CN"/>
        </w:rPr>
        <w:t>（2）乙方的</w:t>
      </w:r>
      <w:r>
        <w:rPr>
          <w:rFonts w:hint="eastAsia" w:ascii="宋体" w:hAnsi="宋体" w:cs="宋体"/>
          <w:color w:val="auto"/>
          <w:szCs w:val="21"/>
          <w:highlight w:val="none"/>
        </w:rPr>
        <w:t>响应</w:t>
      </w:r>
      <w:r>
        <w:rPr>
          <w:rFonts w:hint="eastAsia" w:ascii="宋体" w:hAnsi="宋体" w:cs="宋体"/>
          <w:color w:val="auto"/>
          <w:szCs w:val="21"/>
          <w:highlight w:val="none"/>
          <w:lang w:val="zh-CN"/>
        </w:rPr>
        <w:t>文件；</w:t>
      </w:r>
    </w:p>
    <w:p w14:paraId="4859AC5E">
      <w:pPr>
        <w:spacing w:line="400" w:lineRule="exact"/>
        <w:ind w:firstLine="380"/>
        <w:rPr>
          <w:rFonts w:hint="eastAsia" w:ascii="宋体" w:hAnsi="宋体" w:cs="宋体"/>
          <w:color w:val="auto"/>
          <w:szCs w:val="21"/>
          <w:highlight w:val="none"/>
          <w:lang w:val="zh-CN"/>
        </w:rPr>
      </w:pPr>
      <w:r>
        <w:rPr>
          <w:rFonts w:hint="eastAsia" w:ascii="宋体" w:hAnsi="宋体" w:cs="宋体"/>
          <w:color w:val="auto"/>
          <w:szCs w:val="21"/>
          <w:highlight w:val="none"/>
          <w:lang w:val="zh-CN"/>
        </w:rPr>
        <w:t>（3）乙方在招投标过程中所作的其它承诺、声明、书面澄清等；</w:t>
      </w:r>
    </w:p>
    <w:p w14:paraId="333671C2">
      <w:pPr>
        <w:spacing w:line="400" w:lineRule="exact"/>
        <w:ind w:firstLine="380"/>
        <w:rPr>
          <w:rFonts w:hint="eastAsia" w:ascii="宋体" w:hAnsi="宋体" w:cs="宋体"/>
          <w:color w:val="auto"/>
          <w:szCs w:val="21"/>
          <w:highlight w:val="none"/>
          <w:lang w:val="zh-CN"/>
        </w:rPr>
      </w:pPr>
      <w:r>
        <w:rPr>
          <w:rFonts w:hint="eastAsia" w:ascii="宋体" w:hAnsi="宋体" w:cs="宋体"/>
          <w:color w:val="auto"/>
          <w:szCs w:val="21"/>
          <w:highlight w:val="none"/>
          <w:lang w:val="zh-CN"/>
        </w:rPr>
        <w:t>（4）</w:t>
      </w:r>
      <w:r>
        <w:rPr>
          <w:rFonts w:hint="eastAsia" w:ascii="宋体" w:hAnsi="宋体" w:cs="宋体"/>
          <w:color w:val="auto"/>
          <w:szCs w:val="21"/>
          <w:highlight w:val="none"/>
        </w:rPr>
        <w:t>采购</w:t>
      </w:r>
      <w:r>
        <w:rPr>
          <w:rFonts w:hint="eastAsia" w:ascii="宋体" w:hAnsi="宋体" w:cs="宋体"/>
          <w:color w:val="auto"/>
          <w:szCs w:val="21"/>
          <w:highlight w:val="none"/>
          <w:lang w:val="zh-CN"/>
        </w:rPr>
        <w:t>文件及其附件；</w:t>
      </w:r>
    </w:p>
    <w:p w14:paraId="4AB6F0A0">
      <w:pPr>
        <w:spacing w:line="400" w:lineRule="exact"/>
        <w:ind w:firstLine="380"/>
        <w:rPr>
          <w:rFonts w:hint="eastAsia" w:ascii="宋体" w:hAnsi="宋体" w:cs="宋体"/>
          <w:color w:val="auto"/>
          <w:szCs w:val="21"/>
          <w:highlight w:val="none"/>
          <w:lang w:val="zh-CN"/>
        </w:rPr>
      </w:pPr>
      <w:r>
        <w:rPr>
          <w:rFonts w:hint="eastAsia" w:ascii="宋体" w:hAnsi="宋体" w:cs="宋体"/>
          <w:color w:val="auto"/>
          <w:szCs w:val="21"/>
          <w:highlight w:val="none"/>
          <w:lang w:val="zh-CN"/>
        </w:rPr>
        <w:t>（5）合同附件。</w:t>
      </w:r>
    </w:p>
    <w:p w14:paraId="6739F919">
      <w:pPr>
        <w:spacing w:line="400" w:lineRule="exact"/>
        <w:ind w:firstLine="380"/>
        <w:rPr>
          <w:rFonts w:hint="eastAsia" w:ascii="宋体" w:hAnsi="宋体" w:cs="宋体"/>
          <w:color w:val="auto"/>
          <w:szCs w:val="21"/>
          <w:highlight w:val="none"/>
          <w:lang w:val="zh-CN"/>
        </w:rPr>
      </w:pPr>
      <w:r>
        <w:rPr>
          <w:rFonts w:hint="eastAsia" w:ascii="宋体" w:hAnsi="宋体" w:cs="宋体"/>
          <w:color w:val="auto"/>
          <w:szCs w:val="21"/>
          <w:highlight w:val="none"/>
          <w:lang w:val="zh-CN"/>
        </w:rPr>
        <w:t>以上与本合同具有同等法律效力</w:t>
      </w:r>
    </w:p>
    <w:p w14:paraId="36161F28">
      <w:pPr>
        <w:pStyle w:val="230"/>
        <w:spacing w:line="400" w:lineRule="exact"/>
        <w:rPr>
          <w:rFonts w:hint="eastAsia" w:hAnsi="宋体" w:eastAsia="宋体" w:cs="宋体"/>
          <w:b/>
          <w:color w:val="auto"/>
          <w:sz w:val="21"/>
          <w:szCs w:val="21"/>
          <w:highlight w:val="none"/>
        </w:rPr>
      </w:pPr>
      <w:r>
        <w:rPr>
          <w:rFonts w:hint="eastAsia" w:hAnsi="宋体" w:eastAsia="宋体" w:cs="宋体"/>
          <w:b/>
          <w:color w:val="auto"/>
          <w:sz w:val="21"/>
          <w:szCs w:val="21"/>
          <w:highlight w:val="none"/>
        </w:rPr>
        <w:t>二、合同价格及费用结算：</w:t>
      </w:r>
    </w:p>
    <w:p w14:paraId="09B60AAA">
      <w:pPr>
        <w:pStyle w:val="230"/>
        <w:spacing w:line="400" w:lineRule="exact"/>
        <w:ind w:firstLine="435"/>
        <w:rPr>
          <w:rFonts w:hint="eastAsia" w:hAnsi="宋体" w:eastAsia="宋体" w:cs="宋体"/>
          <w:color w:val="auto"/>
          <w:sz w:val="21"/>
          <w:szCs w:val="21"/>
          <w:highlight w:val="none"/>
          <w:u w:val="single"/>
        </w:rPr>
      </w:pPr>
      <w:r>
        <w:rPr>
          <w:rFonts w:hint="eastAsia" w:hAnsi="宋体" w:eastAsia="宋体" w:cs="宋体"/>
          <w:color w:val="auto"/>
          <w:sz w:val="21"/>
          <w:szCs w:val="21"/>
          <w:highlight w:val="none"/>
        </w:rPr>
        <w:t>1、合同总价：</w:t>
      </w:r>
      <w:r>
        <w:rPr>
          <w:rFonts w:hint="eastAsia" w:hAnsi="宋体" w:eastAsia="宋体" w:cs="宋体"/>
          <w:color w:val="auto"/>
          <w:sz w:val="21"/>
          <w:szCs w:val="21"/>
          <w:highlight w:val="none"/>
          <w:u w:val="single"/>
        </w:rPr>
        <w:t xml:space="preserve"> 大写：                （小写：               ），</w:t>
      </w:r>
      <w:r>
        <w:rPr>
          <w:rFonts w:hint="eastAsia" w:hAnsi="宋体" w:eastAsia="宋体" w:cs="宋体"/>
          <w:color w:val="auto"/>
          <w:sz w:val="21"/>
          <w:szCs w:val="21"/>
          <w:highlight w:val="none"/>
        </w:rPr>
        <w:t>岗位综合单价（       元/人×月）</w:t>
      </w:r>
    </w:p>
    <w:p w14:paraId="27C3DA06">
      <w:pPr>
        <w:pStyle w:val="230"/>
        <w:spacing w:line="400" w:lineRule="exact"/>
        <w:ind w:firstLine="435"/>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lang w:val="zh-CN"/>
        </w:rPr>
        <w:t>以上价格应包括但不限于人工（包括工资、高温费、奖金、社保、法定节假日等各类加班费、各类保险费等费用）、专用设备、工具、易耗材、办公设备、巡检器材、服装、胸卡、通讯、保险、各种税费、政策性文件规定及合同包含的所有风险、责任等的费用，合同期内不再追加任何费用（包括最低工资、社保调整所增加的费用等）。</w:t>
      </w:r>
    </w:p>
    <w:p w14:paraId="1F8FEFD9">
      <w:pPr>
        <w:pStyle w:val="230"/>
        <w:spacing w:line="400" w:lineRule="exact"/>
        <w:ind w:firstLine="435"/>
        <w:rPr>
          <w:rFonts w:hint="eastAsia" w:hAnsi="宋体" w:eastAsia="宋体" w:cs="宋体"/>
          <w:color w:val="auto"/>
          <w:sz w:val="21"/>
          <w:szCs w:val="21"/>
          <w:highlight w:val="none"/>
        </w:rPr>
      </w:pPr>
      <w:r>
        <w:rPr>
          <w:rFonts w:hint="eastAsia" w:hAnsi="宋体" w:eastAsia="宋体" w:cs="宋体"/>
          <w:color w:val="auto"/>
          <w:sz w:val="21"/>
          <w:szCs w:val="21"/>
          <w:highlight w:val="none"/>
        </w:rPr>
        <w:t>2、按实际到岗人员及时间结算，计算方式为平均单价*实到人数*时间。结算时按实际到岗数结算。</w:t>
      </w:r>
    </w:p>
    <w:p w14:paraId="6FF11F3C">
      <w:pPr>
        <w:pStyle w:val="230"/>
        <w:spacing w:line="400" w:lineRule="exact"/>
        <w:ind w:firstLine="480"/>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rPr>
        <w:t>2、</w:t>
      </w:r>
      <w:r>
        <w:rPr>
          <w:rFonts w:hint="eastAsia" w:hAnsi="宋体" w:eastAsia="宋体" w:cs="宋体"/>
          <w:color w:val="auto"/>
          <w:sz w:val="21"/>
          <w:szCs w:val="21"/>
          <w:highlight w:val="none"/>
          <w:lang w:val="zh-CN"/>
        </w:rPr>
        <w:t>合同价款的支付及付款方式：（</w:t>
      </w:r>
      <w:r>
        <w:rPr>
          <w:rFonts w:hint="eastAsia" w:hAnsi="宋体" w:eastAsia="宋体" w:cs="宋体"/>
          <w:color w:val="auto"/>
          <w:sz w:val="21"/>
          <w:szCs w:val="21"/>
          <w:highlight w:val="none"/>
        </w:rPr>
        <w:t>由乙方进行勾选</w:t>
      </w:r>
      <w:r>
        <w:rPr>
          <w:rFonts w:hint="eastAsia" w:hAnsi="宋体" w:eastAsia="宋体" w:cs="宋体"/>
          <w:color w:val="auto"/>
          <w:sz w:val="21"/>
          <w:szCs w:val="21"/>
          <w:highlight w:val="none"/>
          <w:lang w:val="zh-CN"/>
        </w:rPr>
        <w:t>）</w:t>
      </w:r>
    </w:p>
    <w:p w14:paraId="104844F9">
      <w:pPr>
        <w:ind w:firstLine="441"/>
        <w:rPr>
          <w:rFonts w:hint="eastAsia" w:ascii="宋体" w:hAnsi="宋体" w:cs="宋体"/>
          <w:color w:val="auto"/>
          <w:sz w:val="30"/>
          <w:highlight w:val="none"/>
        </w:rPr>
      </w:pPr>
      <w:r>
        <w:rPr>
          <w:rFonts w:hint="eastAsia" w:ascii="宋体" w:hAnsi="宋体" w:cs="宋体"/>
          <w:color w:val="auto"/>
          <w:szCs w:val="21"/>
          <w:highlight w:val="none"/>
        </w:rPr>
        <w:t>A、</w:t>
      </w:r>
      <w:r>
        <w:rPr>
          <w:rFonts w:hint="eastAsia" w:ascii="宋体" w:hAnsi="宋体" w:cs="宋体"/>
          <w:color w:val="auto"/>
          <w:sz w:val="30"/>
          <w:highlight w:val="none"/>
        </w:rPr>
        <w:t>□</w:t>
      </w:r>
      <w:r>
        <w:rPr>
          <w:rFonts w:hint="eastAsia" w:ascii="宋体" w:hAnsi="宋体" w:cs="宋体"/>
          <w:color w:val="auto"/>
          <w:szCs w:val="21"/>
          <w:highlight w:val="none"/>
        </w:rPr>
        <w:t>在签订合同时，乙方明确表示需要甲方支付预付款的</w:t>
      </w:r>
    </w:p>
    <w:p w14:paraId="3F8AC7D1">
      <w:pPr>
        <w:pStyle w:val="230"/>
        <w:spacing w:line="400" w:lineRule="exact"/>
        <w:ind w:firstLine="480"/>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rPr>
        <w:t>采购合同签订生效后，甲方在10个工作日内向乙方支付合同金额10%的预付款。服务</w:t>
      </w:r>
      <w:r>
        <w:rPr>
          <w:rFonts w:hint="eastAsia" w:hAnsi="宋体" w:eastAsia="宋体" w:cs="宋体"/>
          <w:color w:val="auto"/>
          <w:sz w:val="21"/>
          <w:szCs w:val="21"/>
          <w:highlight w:val="none"/>
          <w:lang w:val="zh-CN"/>
        </w:rPr>
        <w:t>费</w:t>
      </w:r>
      <w:r>
        <w:rPr>
          <w:rFonts w:hint="eastAsia" w:hAnsi="宋体" w:eastAsia="宋体" w:cs="宋体"/>
          <w:color w:val="auto"/>
          <w:sz w:val="21"/>
          <w:szCs w:val="21"/>
          <w:highlight w:val="none"/>
        </w:rPr>
        <w:t>每月结算一次</w:t>
      </w:r>
      <w:r>
        <w:rPr>
          <w:rFonts w:hint="eastAsia" w:hAnsi="宋体" w:eastAsia="宋体" w:cs="宋体"/>
          <w:color w:val="auto"/>
          <w:sz w:val="21"/>
          <w:szCs w:val="21"/>
          <w:highlight w:val="none"/>
          <w:lang w:val="zh-CN"/>
        </w:rPr>
        <w:t>，每</w:t>
      </w:r>
      <w:r>
        <w:rPr>
          <w:rFonts w:hint="eastAsia" w:hAnsi="宋体" w:eastAsia="宋体" w:cs="宋体"/>
          <w:color w:val="auto"/>
          <w:sz w:val="21"/>
          <w:szCs w:val="21"/>
          <w:highlight w:val="none"/>
        </w:rPr>
        <w:t>月</w:t>
      </w:r>
      <w:r>
        <w:rPr>
          <w:rFonts w:hint="eastAsia" w:hAnsi="宋体" w:eastAsia="宋体" w:cs="宋体"/>
          <w:color w:val="auto"/>
          <w:sz w:val="21"/>
          <w:szCs w:val="21"/>
          <w:highlight w:val="none"/>
          <w:lang w:val="zh-CN"/>
        </w:rPr>
        <w:t>应结算的</w:t>
      </w:r>
      <w:r>
        <w:rPr>
          <w:rFonts w:hint="eastAsia" w:hAnsi="宋体" w:eastAsia="宋体" w:cs="宋体"/>
          <w:color w:val="auto"/>
          <w:sz w:val="21"/>
          <w:szCs w:val="21"/>
          <w:highlight w:val="none"/>
        </w:rPr>
        <w:t>服务</w:t>
      </w:r>
      <w:r>
        <w:rPr>
          <w:rFonts w:hint="eastAsia" w:hAnsi="宋体" w:eastAsia="宋体" w:cs="宋体"/>
          <w:color w:val="auto"/>
          <w:sz w:val="21"/>
          <w:szCs w:val="21"/>
          <w:highlight w:val="none"/>
          <w:lang w:val="zh-CN"/>
        </w:rPr>
        <w:t>费=</w:t>
      </w:r>
      <w:r>
        <w:rPr>
          <w:rFonts w:hint="eastAsia" w:hAnsi="宋体" w:eastAsia="宋体" w:cs="宋体"/>
          <w:color w:val="auto"/>
          <w:sz w:val="21"/>
          <w:szCs w:val="21"/>
          <w:highlight w:val="none"/>
        </w:rPr>
        <w:t>实际到岗人员服务费（合同总价/24）-考核扣款</w:t>
      </w:r>
      <w:r>
        <w:rPr>
          <w:rFonts w:hint="eastAsia" w:hAnsi="宋体" w:eastAsia="宋体" w:cs="宋体"/>
          <w:color w:val="auto"/>
          <w:sz w:val="21"/>
          <w:szCs w:val="21"/>
          <w:highlight w:val="none"/>
          <w:lang w:val="zh-CN"/>
        </w:rPr>
        <w:t>；当月款项</w:t>
      </w:r>
      <w:r>
        <w:rPr>
          <w:rFonts w:hint="eastAsia" w:hAnsi="宋体" w:eastAsia="宋体" w:cs="宋体"/>
          <w:color w:val="auto"/>
          <w:sz w:val="21"/>
          <w:szCs w:val="21"/>
          <w:highlight w:val="none"/>
        </w:rPr>
        <w:t>在甲方收到乙方发票后15日内进行支付</w:t>
      </w:r>
      <w:r>
        <w:rPr>
          <w:rFonts w:hint="eastAsia" w:hAnsi="宋体" w:eastAsia="宋体" w:cs="宋体"/>
          <w:color w:val="auto"/>
          <w:sz w:val="21"/>
          <w:szCs w:val="21"/>
          <w:highlight w:val="none"/>
          <w:lang w:val="zh-CN"/>
        </w:rPr>
        <w:t>。</w:t>
      </w:r>
    </w:p>
    <w:p w14:paraId="4A208214">
      <w:pPr>
        <w:ind w:firstLine="441"/>
        <w:rPr>
          <w:rFonts w:hint="eastAsia" w:ascii="宋体" w:hAnsi="宋体" w:cs="宋体"/>
          <w:color w:val="auto"/>
          <w:sz w:val="30"/>
          <w:highlight w:val="none"/>
        </w:rPr>
      </w:pPr>
      <w:r>
        <w:rPr>
          <w:rFonts w:hint="eastAsia" w:ascii="宋体" w:hAnsi="宋体" w:cs="宋体"/>
          <w:color w:val="auto"/>
          <w:szCs w:val="21"/>
          <w:highlight w:val="none"/>
        </w:rPr>
        <w:t>B、</w:t>
      </w:r>
      <w:r>
        <w:rPr>
          <w:rFonts w:hint="eastAsia" w:ascii="宋体" w:hAnsi="宋体" w:cs="宋体"/>
          <w:color w:val="auto"/>
          <w:sz w:val="30"/>
          <w:highlight w:val="none"/>
        </w:rPr>
        <w:t>□</w:t>
      </w:r>
      <w:r>
        <w:rPr>
          <w:rFonts w:hint="eastAsia" w:ascii="宋体" w:hAnsi="宋体" w:cs="宋体"/>
          <w:color w:val="auto"/>
          <w:szCs w:val="21"/>
          <w:highlight w:val="none"/>
        </w:rPr>
        <w:t>在签订合同时，乙方明确表示无需甲方支付预付款的：</w:t>
      </w:r>
    </w:p>
    <w:p w14:paraId="5C2B1B58">
      <w:pPr>
        <w:pStyle w:val="230"/>
        <w:spacing w:line="480" w:lineRule="exact"/>
        <w:ind w:firstLine="482"/>
        <w:rPr>
          <w:rFonts w:hint="eastAsia" w:hAnsi="宋体" w:eastAsia="宋体" w:cs="宋体"/>
          <w:color w:val="auto"/>
          <w:sz w:val="21"/>
          <w:szCs w:val="21"/>
          <w:highlight w:val="none"/>
        </w:rPr>
      </w:pPr>
      <w:r>
        <w:rPr>
          <w:rFonts w:hint="eastAsia" w:hAnsi="宋体" w:eastAsia="宋体" w:cs="宋体"/>
          <w:color w:val="auto"/>
          <w:sz w:val="21"/>
          <w:szCs w:val="21"/>
          <w:highlight w:val="none"/>
        </w:rPr>
        <w:t>采购合同签订生效后，服务</w:t>
      </w:r>
      <w:r>
        <w:rPr>
          <w:rFonts w:hint="eastAsia" w:hAnsi="宋体" w:eastAsia="宋体" w:cs="宋体"/>
          <w:color w:val="auto"/>
          <w:sz w:val="21"/>
          <w:szCs w:val="21"/>
          <w:highlight w:val="none"/>
          <w:lang w:val="zh-CN"/>
        </w:rPr>
        <w:t>费</w:t>
      </w:r>
      <w:r>
        <w:rPr>
          <w:rFonts w:hint="eastAsia" w:hAnsi="宋体" w:eastAsia="宋体" w:cs="宋体"/>
          <w:color w:val="auto"/>
          <w:sz w:val="21"/>
          <w:szCs w:val="21"/>
          <w:highlight w:val="none"/>
        </w:rPr>
        <w:t>每月结算一次</w:t>
      </w:r>
      <w:r>
        <w:rPr>
          <w:rFonts w:hint="eastAsia" w:hAnsi="宋体" w:eastAsia="宋体" w:cs="宋体"/>
          <w:color w:val="auto"/>
          <w:sz w:val="21"/>
          <w:szCs w:val="21"/>
          <w:highlight w:val="none"/>
          <w:lang w:val="zh-CN"/>
        </w:rPr>
        <w:t>，每</w:t>
      </w:r>
      <w:r>
        <w:rPr>
          <w:rFonts w:hint="eastAsia" w:hAnsi="宋体" w:eastAsia="宋体" w:cs="宋体"/>
          <w:color w:val="auto"/>
          <w:sz w:val="21"/>
          <w:szCs w:val="21"/>
          <w:highlight w:val="none"/>
        </w:rPr>
        <w:t>月</w:t>
      </w:r>
      <w:r>
        <w:rPr>
          <w:rFonts w:hint="eastAsia" w:hAnsi="宋体" w:eastAsia="宋体" w:cs="宋体"/>
          <w:color w:val="auto"/>
          <w:sz w:val="21"/>
          <w:szCs w:val="21"/>
          <w:highlight w:val="none"/>
          <w:lang w:val="zh-CN"/>
        </w:rPr>
        <w:t>应结算的</w:t>
      </w:r>
      <w:r>
        <w:rPr>
          <w:rFonts w:hint="eastAsia" w:hAnsi="宋体" w:eastAsia="宋体" w:cs="宋体"/>
          <w:color w:val="auto"/>
          <w:sz w:val="21"/>
          <w:szCs w:val="21"/>
          <w:highlight w:val="none"/>
        </w:rPr>
        <w:t>服务</w:t>
      </w:r>
      <w:r>
        <w:rPr>
          <w:rFonts w:hint="eastAsia" w:hAnsi="宋体" w:eastAsia="宋体" w:cs="宋体"/>
          <w:color w:val="auto"/>
          <w:sz w:val="21"/>
          <w:szCs w:val="21"/>
          <w:highlight w:val="none"/>
          <w:lang w:val="zh-CN"/>
        </w:rPr>
        <w:t>费=</w:t>
      </w:r>
      <w:r>
        <w:rPr>
          <w:rFonts w:hint="eastAsia" w:hAnsi="宋体" w:eastAsia="宋体" w:cs="宋体"/>
          <w:color w:val="auto"/>
          <w:sz w:val="21"/>
          <w:szCs w:val="21"/>
          <w:highlight w:val="none"/>
        </w:rPr>
        <w:t>实际到岗人员服务费（合同总价/24）-考核扣款</w:t>
      </w:r>
      <w:r>
        <w:rPr>
          <w:rFonts w:hint="eastAsia" w:hAnsi="宋体" w:eastAsia="宋体" w:cs="宋体"/>
          <w:color w:val="auto"/>
          <w:sz w:val="21"/>
          <w:szCs w:val="21"/>
          <w:highlight w:val="none"/>
          <w:lang w:val="zh-CN"/>
        </w:rPr>
        <w:t>；当月款项</w:t>
      </w:r>
      <w:r>
        <w:rPr>
          <w:rFonts w:hint="eastAsia" w:hAnsi="宋体" w:eastAsia="宋体" w:cs="宋体"/>
          <w:color w:val="auto"/>
          <w:sz w:val="21"/>
          <w:szCs w:val="21"/>
          <w:highlight w:val="none"/>
        </w:rPr>
        <w:t>在甲方收到乙方发票后15日内进行支付。</w:t>
      </w:r>
    </w:p>
    <w:p w14:paraId="7CC4F640">
      <w:pPr>
        <w:pStyle w:val="230"/>
        <w:spacing w:line="400" w:lineRule="exact"/>
        <w:ind w:firstLine="435"/>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rPr>
        <w:t>3、</w:t>
      </w:r>
      <w:r>
        <w:rPr>
          <w:rFonts w:hint="eastAsia" w:hAnsi="宋体" w:eastAsia="宋体" w:cs="宋体"/>
          <w:color w:val="auto"/>
          <w:sz w:val="21"/>
          <w:szCs w:val="21"/>
          <w:highlight w:val="none"/>
          <w:lang w:val="zh-CN"/>
        </w:rPr>
        <w:t>如成交人对服务缺陷不予更正，采购人有权另请其他单位更正。</w:t>
      </w:r>
    </w:p>
    <w:p w14:paraId="2B27FC0C">
      <w:pPr>
        <w:pStyle w:val="230"/>
        <w:spacing w:line="400" w:lineRule="exact"/>
        <w:ind w:firstLine="435"/>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rPr>
        <w:t>4、</w:t>
      </w:r>
      <w:r>
        <w:rPr>
          <w:rFonts w:hint="eastAsia" w:hAnsi="宋体" w:eastAsia="宋体" w:cs="宋体"/>
          <w:color w:val="auto"/>
          <w:sz w:val="21"/>
          <w:szCs w:val="21"/>
          <w:highlight w:val="none"/>
          <w:lang w:val="zh-CN"/>
        </w:rPr>
        <w:t>甲方支付此项费用外不再承担其它任何费用（包括个人），服务人员的薪金、福利、休假日补贴等由乙方付给，与甲方无关。</w:t>
      </w:r>
    </w:p>
    <w:p w14:paraId="37FD2982">
      <w:pPr>
        <w:pStyle w:val="230"/>
        <w:spacing w:line="400" w:lineRule="exact"/>
        <w:ind w:firstLine="435"/>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rPr>
        <w:t>5、</w:t>
      </w:r>
      <w:r>
        <w:rPr>
          <w:rFonts w:hint="eastAsia" w:hAnsi="宋体" w:eastAsia="宋体" w:cs="宋体"/>
          <w:color w:val="auto"/>
          <w:sz w:val="21"/>
          <w:szCs w:val="21"/>
          <w:highlight w:val="none"/>
          <w:lang w:val="zh-CN"/>
        </w:rPr>
        <w:t>确因甲方工作需要，乙方应无条件配合甲方完成一些突击工作。如：安排服务人员（内部）临时加班。</w:t>
      </w:r>
    </w:p>
    <w:p w14:paraId="062E2F34">
      <w:pPr>
        <w:pStyle w:val="230"/>
        <w:spacing w:line="400" w:lineRule="exact"/>
        <w:ind w:firstLine="435"/>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rPr>
        <w:t>6、</w:t>
      </w:r>
      <w:r>
        <w:rPr>
          <w:rFonts w:hint="eastAsia" w:hAnsi="宋体" w:eastAsia="宋体" w:cs="宋体"/>
          <w:color w:val="auto"/>
          <w:sz w:val="21"/>
          <w:szCs w:val="21"/>
          <w:highlight w:val="none"/>
          <w:lang w:val="zh-CN"/>
        </w:rPr>
        <w:t>合同有效期间，在合同服务内容以外，如因医院发展需要和发生公共突发事件（如：天灾、疫情、战争、暴乱、重大事故等）等类似事项，需乙方全力配合的，属于本合同签订时不可预知的情形，在此期间所产生的相关费用甲方应另行支付。</w:t>
      </w:r>
    </w:p>
    <w:p w14:paraId="34D5A29A">
      <w:pPr>
        <w:pStyle w:val="230"/>
        <w:spacing w:line="400" w:lineRule="exact"/>
        <w:rPr>
          <w:rFonts w:hint="eastAsia" w:hAnsi="宋体" w:eastAsia="宋体" w:cs="宋体"/>
          <w:b/>
          <w:color w:val="auto"/>
          <w:sz w:val="21"/>
          <w:szCs w:val="21"/>
          <w:highlight w:val="none"/>
        </w:rPr>
      </w:pPr>
      <w:r>
        <w:rPr>
          <w:rFonts w:hint="eastAsia" w:hAnsi="宋体" w:eastAsia="宋体" w:cs="宋体"/>
          <w:b/>
          <w:color w:val="auto"/>
          <w:sz w:val="21"/>
          <w:szCs w:val="21"/>
          <w:highlight w:val="none"/>
        </w:rPr>
        <w:t>三、服务质量与检验：</w:t>
      </w:r>
    </w:p>
    <w:p w14:paraId="02CBB714">
      <w:pPr>
        <w:pStyle w:val="230"/>
        <w:spacing w:line="400" w:lineRule="exact"/>
        <w:ind w:firstLine="435"/>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lang w:val="zh-CN"/>
        </w:rPr>
        <w:t>除日常考核等约定外，待整个服务项目开始实施后，验收时甲乙双方派员一起当场对所提供的服务项目进行逐一验收，如发现整个服务项目与投标承诺有出入时，应作详细记录，由乙方立即无条件更正，同时由乙方承担因此而产生的一切后果。</w:t>
      </w:r>
    </w:p>
    <w:p w14:paraId="5C3B3888">
      <w:pPr>
        <w:pStyle w:val="230"/>
        <w:spacing w:line="480" w:lineRule="exact"/>
        <w:rPr>
          <w:rFonts w:hint="eastAsia" w:hAnsi="宋体" w:eastAsia="宋体" w:cs="宋体"/>
          <w:color w:val="auto"/>
          <w:sz w:val="21"/>
          <w:szCs w:val="21"/>
          <w:highlight w:val="none"/>
        </w:rPr>
      </w:pPr>
      <w:r>
        <w:rPr>
          <w:rFonts w:hint="eastAsia" w:hAnsi="宋体" w:eastAsia="宋体" w:cs="宋体"/>
          <w:b/>
          <w:color w:val="auto"/>
          <w:sz w:val="21"/>
          <w:szCs w:val="21"/>
          <w:highlight w:val="none"/>
        </w:rPr>
        <w:t>四、考核办法与考核标准</w:t>
      </w:r>
    </w:p>
    <w:p w14:paraId="66F49113">
      <w:pPr>
        <w:tabs>
          <w:tab w:val="left" w:pos="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1）考核标准：</w:t>
      </w:r>
    </w:p>
    <w:p w14:paraId="4F6E6450">
      <w:pPr>
        <w:tabs>
          <w:tab w:val="left" w:pos="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①考核期内不得出现因管理不善导致的偷盗、水淹、火灾、人员重伤的安全事故。发生损失在1万以下的偷盗事故或水淹、火灾的，扣除5分；轻伤事故的，依据实际情况，扣除10分；发生损失在1万及以上，5万以下的偷盗事故或水淹、火灾的，扣15分；发生人员重伤，偷盗或水淹、火灾事故损失5万及以上的，一律扣除20分，并扣除当月所有管理费用。</w:t>
      </w:r>
    </w:p>
    <w:p w14:paraId="590B25CE">
      <w:pPr>
        <w:tabs>
          <w:tab w:val="left" w:pos="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②运营年度内不得出现因管理不善导致的政府部门（含消防、综合执法等部门）的处罚或通报和媒体曝光。每发生一起扣20分。</w:t>
      </w:r>
    </w:p>
    <w:p w14:paraId="1BB63A63">
      <w:pPr>
        <w:numPr>
          <w:ilvl w:val="0"/>
          <w:numId w:val="7"/>
        </w:numPr>
        <w:tabs>
          <w:tab w:val="left" w:pos="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考核评分表</w:t>
      </w:r>
    </w:p>
    <w:tbl>
      <w:tblPr>
        <w:tblStyle w:val="43"/>
        <w:tblpPr w:leftFromText="180" w:rightFromText="180" w:vertAnchor="text" w:horzAnchor="page" w:tblpXSpec="center" w:tblpY="4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0"/>
        <w:gridCol w:w="8267"/>
        <w:gridCol w:w="499"/>
      </w:tblGrid>
      <w:tr w14:paraId="150C8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0" w:type="auto"/>
            <w:vAlign w:val="center"/>
          </w:tcPr>
          <w:p w14:paraId="38EAA6AE">
            <w:pPr>
              <w:jc w:val="center"/>
              <w:rPr>
                <w:rFonts w:hint="eastAsia" w:ascii="宋体" w:hAnsi="宋体" w:cs="宋体"/>
                <w:bCs/>
                <w:color w:val="auto"/>
                <w:szCs w:val="21"/>
                <w:highlight w:val="none"/>
              </w:rPr>
            </w:pPr>
            <w:r>
              <w:rPr>
                <w:rFonts w:hint="eastAsia" w:ascii="宋体" w:hAnsi="宋体" w:cs="宋体"/>
                <w:bCs/>
                <w:color w:val="auto"/>
                <w:szCs w:val="21"/>
                <w:highlight w:val="none"/>
              </w:rPr>
              <w:t>序号</w:t>
            </w:r>
          </w:p>
        </w:tc>
        <w:tc>
          <w:tcPr>
            <w:tcW w:w="0" w:type="auto"/>
            <w:vAlign w:val="center"/>
          </w:tcPr>
          <w:p w14:paraId="1D093C54">
            <w:pPr>
              <w:jc w:val="center"/>
              <w:rPr>
                <w:rFonts w:hint="eastAsia" w:ascii="宋体" w:hAnsi="宋体" w:cs="宋体"/>
                <w:bCs/>
                <w:color w:val="auto"/>
                <w:szCs w:val="21"/>
                <w:highlight w:val="none"/>
              </w:rPr>
            </w:pPr>
            <w:r>
              <w:rPr>
                <w:rFonts w:hint="eastAsia" w:ascii="宋体" w:hAnsi="宋体" w:cs="宋体"/>
                <w:bCs/>
                <w:color w:val="auto"/>
                <w:szCs w:val="21"/>
                <w:highlight w:val="none"/>
              </w:rPr>
              <w:t>标准内容</w:t>
            </w:r>
          </w:p>
        </w:tc>
        <w:tc>
          <w:tcPr>
            <w:tcW w:w="0" w:type="auto"/>
            <w:vAlign w:val="center"/>
          </w:tcPr>
          <w:p w14:paraId="065C1133">
            <w:pPr>
              <w:jc w:val="center"/>
              <w:rPr>
                <w:rFonts w:hint="eastAsia" w:ascii="宋体" w:hAnsi="宋体" w:cs="宋体"/>
                <w:bCs/>
                <w:color w:val="auto"/>
                <w:szCs w:val="21"/>
                <w:highlight w:val="none"/>
              </w:rPr>
            </w:pPr>
            <w:r>
              <w:rPr>
                <w:rFonts w:hint="eastAsia" w:ascii="宋体" w:hAnsi="宋体" w:cs="宋体"/>
                <w:bCs/>
                <w:color w:val="auto"/>
                <w:szCs w:val="21"/>
                <w:highlight w:val="none"/>
              </w:rPr>
              <w:t>分值</w:t>
            </w:r>
          </w:p>
        </w:tc>
      </w:tr>
      <w:tr w14:paraId="37D61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0" w:type="auto"/>
            <w:vMerge w:val="restart"/>
            <w:vAlign w:val="center"/>
          </w:tcPr>
          <w:p w14:paraId="1D45DE4E">
            <w:pPr>
              <w:jc w:val="center"/>
              <w:rPr>
                <w:rFonts w:hint="eastAsia" w:ascii="宋体" w:hAnsi="宋体" w:cs="宋体"/>
                <w:bCs/>
                <w:color w:val="auto"/>
                <w:szCs w:val="21"/>
                <w:highlight w:val="none"/>
              </w:rPr>
            </w:pPr>
            <w:r>
              <w:rPr>
                <w:rFonts w:hint="eastAsia" w:ascii="宋体" w:hAnsi="宋体" w:cs="宋体"/>
                <w:bCs/>
                <w:color w:val="auto"/>
                <w:szCs w:val="21"/>
                <w:highlight w:val="none"/>
              </w:rPr>
              <w:t>A</w:t>
            </w:r>
          </w:p>
        </w:tc>
        <w:tc>
          <w:tcPr>
            <w:tcW w:w="0" w:type="auto"/>
            <w:shd w:val="clear" w:color="auto" w:fill="C0C0C0"/>
            <w:vAlign w:val="center"/>
          </w:tcPr>
          <w:p w14:paraId="1C6E0C96">
            <w:pPr>
              <w:jc w:val="center"/>
              <w:rPr>
                <w:rFonts w:hint="eastAsia" w:ascii="宋体" w:hAnsi="宋体" w:cs="宋体"/>
                <w:bCs/>
                <w:color w:val="auto"/>
                <w:szCs w:val="21"/>
                <w:highlight w:val="none"/>
              </w:rPr>
            </w:pPr>
            <w:r>
              <w:rPr>
                <w:rFonts w:hint="eastAsia" w:ascii="宋体" w:hAnsi="宋体" w:cs="宋体"/>
                <w:bCs/>
                <w:color w:val="auto"/>
                <w:szCs w:val="21"/>
                <w:highlight w:val="none"/>
              </w:rPr>
              <w:t>综合管理要求</w:t>
            </w:r>
          </w:p>
        </w:tc>
        <w:tc>
          <w:tcPr>
            <w:tcW w:w="0" w:type="auto"/>
            <w:shd w:val="clear" w:color="auto" w:fill="C0C0C0"/>
            <w:vAlign w:val="center"/>
          </w:tcPr>
          <w:p w14:paraId="44E59D73">
            <w:pPr>
              <w:jc w:val="center"/>
              <w:rPr>
                <w:rFonts w:hint="eastAsia" w:ascii="宋体" w:hAnsi="宋体" w:cs="宋体"/>
                <w:bCs/>
                <w:color w:val="auto"/>
                <w:szCs w:val="21"/>
                <w:highlight w:val="none"/>
              </w:rPr>
            </w:pPr>
            <w:r>
              <w:rPr>
                <w:rFonts w:hint="eastAsia" w:ascii="宋体" w:hAnsi="宋体" w:cs="宋体"/>
                <w:bCs/>
                <w:color w:val="auto"/>
                <w:szCs w:val="21"/>
                <w:highlight w:val="none"/>
              </w:rPr>
              <w:t>20</w:t>
            </w:r>
          </w:p>
        </w:tc>
      </w:tr>
      <w:tr w14:paraId="7D9AC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0" w:type="auto"/>
            <w:vMerge w:val="continue"/>
            <w:vAlign w:val="center"/>
          </w:tcPr>
          <w:p w14:paraId="2C75842B">
            <w:pPr>
              <w:jc w:val="center"/>
              <w:rPr>
                <w:rFonts w:hint="eastAsia" w:ascii="宋体" w:hAnsi="宋体" w:cs="宋体"/>
                <w:bCs/>
                <w:color w:val="auto"/>
                <w:szCs w:val="21"/>
                <w:highlight w:val="none"/>
              </w:rPr>
            </w:pPr>
          </w:p>
        </w:tc>
        <w:tc>
          <w:tcPr>
            <w:tcW w:w="0" w:type="auto"/>
            <w:vAlign w:val="center"/>
          </w:tcPr>
          <w:p w14:paraId="335C222A">
            <w:pPr>
              <w:rPr>
                <w:rFonts w:hint="eastAsia" w:ascii="宋体" w:hAnsi="宋体" w:cs="宋体"/>
                <w:bCs/>
                <w:color w:val="auto"/>
                <w:szCs w:val="21"/>
                <w:highlight w:val="none"/>
              </w:rPr>
            </w:pPr>
            <w:r>
              <w:rPr>
                <w:rFonts w:hint="eastAsia" w:ascii="宋体" w:hAnsi="宋体" w:cs="宋体"/>
                <w:bCs/>
                <w:color w:val="auto"/>
                <w:szCs w:val="21"/>
                <w:highlight w:val="none"/>
              </w:rPr>
              <w:t>1．管理人员和专业技术人员持证上岗；所有员工需具备相应资质，符合招标文件年龄及健康等要求。员工统一着装，佩戴明显标志，工作规范、作风严谨、礼仪服务到位。项目经理履行岗位职责，并督促员工遵守各种规章制度。</w:t>
            </w:r>
          </w:p>
        </w:tc>
        <w:tc>
          <w:tcPr>
            <w:tcW w:w="0" w:type="auto"/>
            <w:vAlign w:val="center"/>
          </w:tcPr>
          <w:p w14:paraId="7097761A">
            <w:pPr>
              <w:jc w:val="center"/>
              <w:rPr>
                <w:rFonts w:hint="eastAsia" w:ascii="宋体" w:hAnsi="宋体" w:cs="宋体"/>
                <w:bCs/>
                <w:color w:val="auto"/>
                <w:szCs w:val="21"/>
                <w:highlight w:val="none"/>
              </w:rPr>
            </w:pPr>
            <w:r>
              <w:rPr>
                <w:rFonts w:hint="eastAsia" w:ascii="宋体" w:hAnsi="宋体" w:cs="宋体"/>
                <w:bCs/>
                <w:color w:val="auto"/>
                <w:szCs w:val="21"/>
                <w:highlight w:val="none"/>
              </w:rPr>
              <w:t>5</w:t>
            </w:r>
          </w:p>
        </w:tc>
      </w:tr>
      <w:tr w14:paraId="1BE0A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0" w:type="auto"/>
            <w:vMerge w:val="continue"/>
            <w:vAlign w:val="center"/>
          </w:tcPr>
          <w:p w14:paraId="354229C6">
            <w:pPr>
              <w:jc w:val="center"/>
              <w:rPr>
                <w:rFonts w:hint="eastAsia" w:ascii="宋体" w:hAnsi="宋体" w:cs="宋体"/>
                <w:bCs/>
                <w:color w:val="auto"/>
                <w:szCs w:val="21"/>
                <w:highlight w:val="none"/>
              </w:rPr>
            </w:pPr>
          </w:p>
        </w:tc>
        <w:tc>
          <w:tcPr>
            <w:tcW w:w="0" w:type="auto"/>
            <w:vAlign w:val="center"/>
          </w:tcPr>
          <w:p w14:paraId="46496693">
            <w:pPr>
              <w:rPr>
                <w:rFonts w:hint="eastAsia" w:ascii="宋体" w:hAnsi="宋体" w:cs="宋体"/>
                <w:bCs/>
                <w:color w:val="auto"/>
                <w:szCs w:val="21"/>
                <w:highlight w:val="none"/>
              </w:rPr>
            </w:pPr>
            <w:r>
              <w:rPr>
                <w:rFonts w:hint="eastAsia" w:ascii="宋体" w:hAnsi="宋体" w:cs="宋体"/>
                <w:bCs/>
                <w:color w:val="auto"/>
                <w:szCs w:val="21"/>
                <w:highlight w:val="none"/>
              </w:rPr>
              <w:t>2．建立健全各项标准化、规范化管理制度、各岗位工作按流程执行，并制定具体的落实措施和考核办法。</w:t>
            </w:r>
          </w:p>
        </w:tc>
        <w:tc>
          <w:tcPr>
            <w:tcW w:w="0" w:type="auto"/>
            <w:vAlign w:val="center"/>
          </w:tcPr>
          <w:p w14:paraId="08F0E07C">
            <w:pPr>
              <w:jc w:val="center"/>
              <w:rPr>
                <w:rFonts w:hint="eastAsia" w:ascii="宋体" w:hAnsi="宋体" w:cs="宋体"/>
                <w:bCs/>
                <w:color w:val="auto"/>
                <w:szCs w:val="21"/>
                <w:highlight w:val="none"/>
              </w:rPr>
            </w:pPr>
            <w:r>
              <w:rPr>
                <w:rFonts w:hint="eastAsia" w:ascii="宋体" w:hAnsi="宋体" w:cs="宋体"/>
                <w:bCs/>
                <w:color w:val="auto"/>
                <w:szCs w:val="21"/>
                <w:highlight w:val="none"/>
              </w:rPr>
              <w:t>3</w:t>
            </w:r>
          </w:p>
        </w:tc>
      </w:tr>
      <w:tr w14:paraId="378D7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0" w:type="auto"/>
            <w:vMerge w:val="continue"/>
            <w:vAlign w:val="center"/>
          </w:tcPr>
          <w:p w14:paraId="14B3AE19">
            <w:pPr>
              <w:jc w:val="center"/>
              <w:rPr>
                <w:rFonts w:hint="eastAsia" w:ascii="宋体" w:hAnsi="宋体" w:cs="宋体"/>
                <w:bCs/>
                <w:color w:val="auto"/>
                <w:szCs w:val="21"/>
                <w:highlight w:val="none"/>
              </w:rPr>
            </w:pPr>
          </w:p>
        </w:tc>
        <w:tc>
          <w:tcPr>
            <w:tcW w:w="0" w:type="auto"/>
            <w:vAlign w:val="center"/>
          </w:tcPr>
          <w:p w14:paraId="4C2A9FDE">
            <w:pPr>
              <w:rPr>
                <w:rFonts w:hint="eastAsia" w:ascii="宋体" w:hAnsi="宋体" w:cs="宋体"/>
                <w:bCs/>
                <w:color w:val="auto"/>
                <w:szCs w:val="21"/>
                <w:highlight w:val="none"/>
              </w:rPr>
            </w:pPr>
            <w:r>
              <w:rPr>
                <w:rFonts w:hint="eastAsia" w:ascii="宋体" w:hAnsi="宋体" w:cs="宋体"/>
                <w:bCs/>
                <w:color w:val="auto"/>
                <w:szCs w:val="21"/>
                <w:highlight w:val="none"/>
              </w:rPr>
              <w:t>3．按规定进行安全巡视，以定期不定期抽查监控及现场查看等形式考察。</w:t>
            </w:r>
          </w:p>
        </w:tc>
        <w:tc>
          <w:tcPr>
            <w:tcW w:w="0" w:type="auto"/>
            <w:vAlign w:val="center"/>
          </w:tcPr>
          <w:p w14:paraId="1A43D6A0">
            <w:pPr>
              <w:jc w:val="center"/>
              <w:rPr>
                <w:rFonts w:hint="eastAsia" w:ascii="宋体" w:hAnsi="宋体" w:cs="宋体"/>
                <w:bCs/>
                <w:color w:val="auto"/>
                <w:szCs w:val="21"/>
                <w:highlight w:val="none"/>
              </w:rPr>
            </w:pPr>
            <w:r>
              <w:rPr>
                <w:rFonts w:hint="eastAsia" w:ascii="宋体" w:hAnsi="宋体" w:cs="宋体"/>
                <w:bCs/>
                <w:color w:val="auto"/>
                <w:szCs w:val="21"/>
                <w:highlight w:val="none"/>
              </w:rPr>
              <w:t>3</w:t>
            </w:r>
          </w:p>
        </w:tc>
      </w:tr>
      <w:tr w14:paraId="05D59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0" w:type="auto"/>
            <w:vMerge w:val="continue"/>
            <w:vAlign w:val="center"/>
          </w:tcPr>
          <w:p w14:paraId="49FAE6DF">
            <w:pPr>
              <w:jc w:val="center"/>
              <w:rPr>
                <w:rFonts w:hint="eastAsia" w:ascii="宋体" w:hAnsi="宋体" w:cs="宋体"/>
                <w:bCs/>
                <w:color w:val="auto"/>
                <w:szCs w:val="21"/>
                <w:highlight w:val="none"/>
              </w:rPr>
            </w:pPr>
          </w:p>
        </w:tc>
        <w:tc>
          <w:tcPr>
            <w:tcW w:w="0" w:type="auto"/>
            <w:vAlign w:val="center"/>
          </w:tcPr>
          <w:p w14:paraId="3977DDA4">
            <w:pPr>
              <w:rPr>
                <w:rFonts w:hint="eastAsia" w:ascii="宋体" w:hAnsi="宋体" w:cs="宋体"/>
                <w:bCs/>
                <w:color w:val="auto"/>
                <w:szCs w:val="21"/>
                <w:highlight w:val="none"/>
              </w:rPr>
            </w:pPr>
            <w:r>
              <w:rPr>
                <w:rFonts w:hint="eastAsia" w:ascii="宋体" w:hAnsi="宋体" w:cs="宋体"/>
                <w:bCs/>
                <w:color w:val="auto"/>
                <w:szCs w:val="21"/>
                <w:highlight w:val="none"/>
              </w:rPr>
              <w:t>4．有员工培训计划，定期组织各类培训工作，并做好培训记录；效果显著。</w:t>
            </w:r>
          </w:p>
        </w:tc>
        <w:tc>
          <w:tcPr>
            <w:tcW w:w="0" w:type="auto"/>
            <w:vAlign w:val="center"/>
          </w:tcPr>
          <w:p w14:paraId="467EB43F">
            <w:pPr>
              <w:jc w:val="center"/>
              <w:rPr>
                <w:rFonts w:hint="eastAsia" w:ascii="宋体" w:hAnsi="宋体" w:cs="宋体"/>
                <w:bCs/>
                <w:color w:val="auto"/>
                <w:szCs w:val="21"/>
                <w:highlight w:val="none"/>
              </w:rPr>
            </w:pPr>
            <w:r>
              <w:rPr>
                <w:rFonts w:hint="eastAsia" w:ascii="宋体" w:hAnsi="宋体" w:cs="宋体"/>
                <w:bCs/>
                <w:color w:val="auto"/>
                <w:szCs w:val="21"/>
                <w:highlight w:val="none"/>
              </w:rPr>
              <w:t>4</w:t>
            </w:r>
          </w:p>
        </w:tc>
      </w:tr>
      <w:tr w14:paraId="22C8B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 w:hRule="atLeast"/>
          <w:jc w:val="center"/>
        </w:trPr>
        <w:tc>
          <w:tcPr>
            <w:tcW w:w="0" w:type="auto"/>
            <w:vMerge w:val="continue"/>
            <w:vAlign w:val="center"/>
          </w:tcPr>
          <w:p w14:paraId="6ED9C70E">
            <w:pPr>
              <w:jc w:val="center"/>
              <w:rPr>
                <w:rFonts w:hint="eastAsia" w:ascii="宋体" w:hAnsi="宋体" w:cs="宋体"/>
                <w:bCs/>
                <w:color w:val="auto"/>
                <w:szCs w:val="21"/>
                <w:highlight w:val="none"/>
              </w:rPr>
            </w:pPr>
          </w:p>
        </w:tc>
        <w:tc>
          <w:tcPr>
            <w:tcW w:w="0" w:type="auto"/>
            <w:vAlign w:val="center"/>
          </w:tcPr>
          <w:p w14:paraId="33B64DD0">
            <w:pPr>
              <w:rPr>
                <w:rFonts w:hint="eastAsia" w:ascii="宋体" w:hAnsi="宋体" w:cs="宋体"/>
                <w:bCs/>
                <w:color w:val="auto"/>
                <w:szCs w:val="21"/>
                <w:highlight w:val="none"/>
              </w:rPr>
            </w:pPr>
            <w:r>
              <w:rPr>
                <w:rFonts w:hint="eastAsia" w:ascii="宋体" w:hAnsi="宋体" w:cs="宋体"/>
                <w:bCs/>
                <w:color w:val="auto"/>
                <w:szCs w:val="21"/>
                <w:highlight w:val="none"/>
              </w:rPr>
              <w:t>5．相关员工熟练使用对讲机等设施设备，保证能及时响应工作需求及紧急情况。</w:t>
            </w:r>
          </w:p>
        </w:tc>
        <w:tc>
          <w:tcPr>
            <w:tcW w:w="0" w:type="auto"/>
            <w:vAlign w:val="center"/>
          </w:tcPr>
          <w:p w14:paraId="73D3E36D">
            <w:pPr>
              <w:jc w:val="center"/>
              <w:rPr>
                <w:rFonts w:hint="eastAsia" w:ascii="宋体" w:hAnsi="宋体" w:cs="宋体"/>
                <w:bCs/>
                <w:color w:val="auto"/>
                <w:szCs w:val="21"/>
                <w:highlight w:val="none"/>
              </w:rPr>
            </w:pPr>
            <w:r>
              <w:rPr>
                <w:rFonts w:hint="eastAsia" w:ascii="宋体" w:hAnsi="宋体" w:cs="宋体"/>
                <w:bCs/>
                <w:color w:val="auto"/>
                <w:szCs w:val="21"/>
                <w:highlight w:val="none"/>
              </w:rPr>
              <w:t>5</w:t>
            </w:r>
          </w:p>
        </w:tc>
      </w:tr>
      <w:tr w14:paraId="0F3EA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jc w:val="center"/>
        </w:trPr>
        <w:tc>
          <w:tcPr>
            <w:tcW w:w="0" w:type="auto"/>
            <w:vMerge w:val="restart"/>
            <w:vAlign w:val="center"/>
          </w:tcPr>
          <w:p w14:paraId="08ED6E42">
            <w:pPr>
              <w:jc w:val="center"/>
              <w:rPr>
                <w:rFonts w:hint="eastAsia" w:ascii="宋体" w:hAnsi="宋体" w:cs="宋体"/>
                <w:bCs/>
                <w:color w:val="auto"/>
                <w:szCs w:val="21"/>
                <w:highlight w:val="none"/>
              </w:rPr>
            </w:pPr>
            <w:r>
              <w:rPr>
                <w:rFonts w:hint="eastAsia" w:ascii="宋体" w:hAnsi="宋体" w:cs="宋体"/>
                <w:bCs/>
                <w:color w:val="auto"/>
                <w:szCs w:val="21"/>
                <w:highlight w:val="none"/>
              </w:rPr>
              <w:t>B</w:t>
            </w:r>
          </w:p>
        </w:tc>
        <w:tc>
          <w:tcPr>
            <w:tcW w:w="0" w:type="auto"/>
            <w:tcBorders>
              <w:bottom w:val="single" w:color="auto" w:sz="4" w:space="0"/>
            </w:tcBorders>
            <w:shd w:val="clear" w:color="auto" w:fill="C0C0C0"/>
            <w:vAlign w:val="center"/>
          </w:tcPr>
          <w:p w14:paraId="17ABA25C">
            <w:pPr>
              <w:jc w:val="center"/>
              <w:rPr>
                <w:rFonts w:hint="eastAsia" w:ascii="宋体" w:hAnsi="宋体" w:cs="宋体"/>
                <w:bCs/>
                <w:color w:val="auto"/>
                <w:szCs w:val="21"/>
                <w:highlight w:val="none"/>
              </w:rPr>
            </w:pPr>
            <w:r>
              <w:rPr>
                <w:rFonts w:hint="eastAsia" w:ascii="宋体" w:hAnsi="宋体" w:cs="宋体"/>
                <w:bCs/>
                <w:color w:val="auto"/>
                <w:szCs w:val="21"/>
                <w:highlight w:val="none"/>
              </w:rPr>
              <w:t>护工</w:t>
            </w:r>
          </w:p>
        </w:tc>
        <w:tc>
          <w:tcPr>
            <w:tcW w:w="0" w:type="auto"/>
            <w:tcBorders>
              <w:bottom w:val="single" w:color="auto" w:sz="4" w:space="0"/>
            </w:tcBorders>
            <w:shd w:val="clear" w:color="auto" w:fill="C0C0C0"/>
            <w:vAlign w:val="center"/>
          </w:tcPr>
          <w:p w14:paraId="2E8068BB">
            <w:pPr>
              <w:jc w:val="center"/>
              <w:rPr>
                <w:rFonts w:hint="eastAsia" w:ascii="宋体" w:hAnsi="宋体" w:cs="宋体"/>
                <w:bCs/>
                <w:color w:val="auto"/>
                <w:szCs w:val="21"/>
                <w:highlight w:val="none"/>
              </w:rPr>
            </w:pPr>
            <w:r>
              <w:rPr>
                <w:rFonts w:hint="eastAsia" w:ascii="宋体" w:hAnsi="宋体" w:cs="宋体"/>
                <w:bCs/>
                <w:color w:val="auto"/>
                <w:szCs w:val="21"/>
                <w:highlight w:val="none"/>
              </w:rPr>
              <w:t>26</w:t>
            </w:r>
          </w:p>
        </w:tc>
      </w:tr>
      <w:tr w14:paraId="6F694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jc w:val="center"/>
        </w:trPr>
        <w:tc>
          <w:tcPr>
            <w:tcW w:w="0" w:type="auto"/>
            <w:vMerge w:val="continue"/>
            <w:vAlign w:val="center"/>
          </w:tcPr>
          <w:p w14:paraId="71D1076F">
            <w:pPr>
              <w:jc w:val="center"/>
              <w:rPr>
                <w:rFonts w:hint="eastAsia" w:ascii="宋体" w:hAnsi="宋体" w:cs="宋体"/>
                <w:bCs/>
                <w:color w:val="auto"/>
                <w:szCs w:val="21"/>
                <w:highlight w:val="none"/>
              </w:rPr>
            </w:pPr>
          </w:p>
        </w:tc>
        <w:tc>
          <w:tcPr>
            <w:tcW w:w="0" w:type="auto"/>
            <w:shd w:val="clear" w:color="auto" w:fill="FFFFFF"/>
            <w:vAlign w:val="center"/>
          </w:tcPr>
          <w:p w14:paraId="7B172E59">
            <w:pPr>
              <w:jc w:val="left"/>
              <w:rPr>
                <w:rFonts w:hint="eastAsia" w:ascii="宋体" w:hAnsi="宋体" w:cs="宋体"/>
                <w:bCs/>
                <w:color w:val="auto"/>
                <w:szCs w:val="21"/>
                <w:highlight w:val="none"/>
              </w:rPr>
            </w:pPr>
            <w:r>
              <w:rPr>
                <w:rFonts w:hint="eastAsia" w:ascii="宋体" w:hAnsi="宋体" w:cs="宋体"/>
                <w:bCs/>
                <w:color w:val="auto"/>
                <w:szCs w:val="21"/>
                <w:highlight w:val="none"/>
              </w:rPr>
              <w:t>1.护工队伍专门培训上岗，并有相应的培训证明。上岗后应定期进行培训，并有培训记录。需提供护工的健康体检报告。</w:t>
            </w:r>
          </w:p>
        </w:tc>
        <w:tc>
          <w:tcPr>
            <w:tcW w:w="0" w:type="auto"/>
            <w:shd w:val="clear" w:color="auto" w:fill="FFFFFF"/>
            <w:vAlign w:val="center"/>
          </w:tcPr>
          <w:p w14:paraId="435A0471">
            <w:pPr>
              <w:jc w:val="center"/>
              <w:rPr>
                <w:rFonts w:hint="eastAsia" w:ascii="宋体" w:hAnsi="宋体" w:cs="宋体"/>
                <w:bCs/>
                <w:color w:val="auto"/>
                <w:szCs w:val="21"/>
                <w:highlight w:val="none"/>
              </w:rPr>
            </w:pPr>
            <w:r>
              <w:rPr>
                <w:rFonts w:hint="eastAsia" w:ascii="宋体" w:hAnsi="宋体" w:cs="宋体"/>
                <w:bCs/>
                <w:color w:val="auto"/>
                <w:szCs w:val="21"/>
                <w:highlight w:val="none"/>
              </w:rPr>
              <w:t>2</w:t>
            </w:r>
          </w:p>
        </w:tc>
      </w:tr>
      <w:tr w14:paraId="7F159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jc w:val="center"/>
        </w:trPr>
        <w:tc>
          <w:tcPr>
            <w:tcW w:w="0" w:type="auto"/>
            <w:vMerge w:val="continue"/>
            <w:vAlign w:val="center"/>
          </w:tcPr>
          <w:p w14:paraId="344EBD1F">
            <w:pPr>
              <w:jc w:val="center"/>
              <w:rPr>
                <w:rFonts w:hint="eastAsia" w:ascii="宋体" w:hAnsi="宋体" w:cs="宋体"/>
                <w:bCs/>
                <w:color w:val="auto"/>
                <w:szCs w:val="21"/>
                <w:highlight w:val="none"/>
              </w:rPr>
            </w:pPr>
          </w:p>
        </w:tc>
        <w:tc>
          <w:tcPr>
            <w:tcW w:w="0" w:type="auto"/>
            <w:shd w:val="clear" w:color="auto" w:fill="FFFFFF"/>
            <w:vAlign w:val="center"/>
          </w:tcPr>
          <w:p w14:paraId="4BBA166B">
            <w:pPr>
              <w:jc w:val="left"/>
              <w:rPr>
                <w:rFonts w:hint="eastAsia" w:ascii="宋体" w:hAnsi="宋体" w:cs="宋体"/>
                <w:bCs/>
                <w:color w:val="auto"/>
                <w:szCs w:val="21"/>
                <w:highlight w:val="none"/>
              </w:rPr>
            </w:pPr>
            <w:r>
              <w:rPr>
                <w:rFonts w:hint="eastAsia" w:ascii="宋体" w:hAnsi="宋体" w:cs="宋体"/>
                <w:bCs/>
                <w:color w:val="auto"/>
                <w:szCs w:val="21"/>
                <w:highlight w:val="none"/>
              </w:rPr>
              <w:t>2.护工严格遵守医院相关的管理制度，上班期间不得扎堆聊天，抽烟、喝酒、赌博、干私活等，不得串岗及擅自离岗，不得随意调班，如有特殊情况需临时调班，需征得病区同意。</w:t>
            </w:r>
          </w:p>
        </w:tc>
        <w:tc>
          <w:tcPr>
            <w:tcW w:w="0" w:type="auto"/>
            <w:shd w:val="clear" w:color="auto" w:fill="FFFFFF"/>
            <w:vAlign w:val="center"/>
          </w:tcPr>
          <w:p w14:paraId="3CFADDA3">
            <w:pPr>
              <w:jc w:val="center"/>
              <w:rPr>
                <w:rFonts w:hint="eastAsia" w:ascii="宋体" w:hAnsi="宋体" w:cs="宋体"/>
                <w:bCs/>
                <w:color w:val="auto"/>
                <w:szCs w:val="21"/>
                <w:highlight w:val="none"/>
              </w:rPr>
            </w:pPr>
            <w:r>
              <w:rPr>
                <w:rFonts w:hint="eastAsia" w:ascii="宋体" w:hAnsi="宋体" w:cs="宋体"/>
                <w:bCs/>
                <w:color w:val="auto"/>
                <w:szCs w:val="21"/>
                <w:highlight w:val="none"/>
              </w:rPr>
              <w:t>2</w:t>
            </w:r>
          </w:p>
        </w:tc>
      </w:tr>
      <w:tr w14:paraId="67F9C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jc w:val="center"/>
        </w:trPr>
        <w:tc>
          <w:tcPr>
            <w:tcW w:w="0" w:type="auto"/>
            <w:vMerge w:val="continue"/>
            <w:vAlign w:val="center"/>
          </w:tcPr>
          <w:p w14:paraId="7B386440">
            <w:pPr>
              <w:jc w:val="center"/>
              <w:rPr>
                <w:rFonts w:hint="eastAsia" w:ascii="宋体" w:hAnsi="宋体" w:cs="宋体"/>
                <w:bCs/>
                <w:color w:val="auto"/>
                <w:szCs w:val="21"/>
                <w:highlight w:val="none"/>
              </w:rPr>
            </w:pPr>
          </w:p>
        </w:tc>
        <w:tc>
          <w:tcPr>
            <w:tcW w:w="0" w:type="auto"/>
            <w:shd w:val="clear" w:color="auto" w:fill="FFFFFF"/>
            <w:vAlign w:val="center"/>
          </w:tcPr>
          <w:p w14:paraId="3D6AF6D8">
            <w:pPr>
              <w:jc w:val="left"/>
              <w:rPr>
                <w:rFonts w:hint="eastAsia" w:ascii="宋体" w:hAnsi="宋体" w:cs="宋体"/>
                <w:bCs/>
                <w:color w:val="auto"/>
                <w:szCs w:val="21"/>
                <w:highlight w:val="none"/>
              </w:rPr>
            </w:pPr>
            <w:r>
              <w:rPr>
                <w:rFonts w:hint="eastAsia" w:ascii="宋体" w:hAnsi="宋体" w:cs="宋体"/>
                <w:bCs/>
                <w:color w:val="auto"/>
                <w:szCs w:val="21"/>
                <w:highlight w:val="none"/>
              </w:rPr>
              <w:t>3.护工仪表符合要求，穿工作服上岗，挂牌服务。</w:t>
            </w:r>
          </w:p>
        </w:tc>
        <w:tc>
          <w:tcPr>
            <w:tcW w:w="0" w:type="auto"/>
            <w:shd w:val="clear" w:color="auto" w:fill="FFFFFF"/>
            <w:vAlign w:val="center"/>
          </w:tcPr>
          <w:p w14:paraId="4B8C7F3B">
            <w:pPr>
              <w:jc w:val="center"/>
              <w:rPr>
                <w:rFonts w:hint="eastAsia" w:ascii="宋体" w:hAnsi="宋体" w:cs="宋体"/>
                <w:bCs/>
                <w:color w:val="auto"/>
                <w:szCs w:val="21"/>
                <w:highlight w:val="none"/>
              </w:rPr>
            </w:pPr>
            <w:r>
              <w:rPr>
                <w:rFonts w:hint="eastAsia" w:ascii="宋体" w:hAnsi="宋体" w:cs="宋体"/>
                <w:bCs/>
                <w:color w:val="auto"/>
                <w:szCs w:val="21"/>
                <w:highlight w:val="none"/>
              </w:rPr>
              <w:t>1</w:t>
            </w:r>
          </w:p>
        </w:tc>
      </w:tr>
      <w:tr w14:paraId="2A8EA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jc w:val="center"/>
        </w:trPr>
        <w:tc>
          <w:tcPr>
            <w:tcW w:w="0" w:type="auto"/>
            <w:vMerge w:val="continue"/>
            <w:vAlign w:val="center"/>
          </w:tcPr>
          <w:p w14:paraId="75687D93">
            <w:pPr>
              <w:jc w:val="center"/>
              <w:rPr>
                <w:rFonts w:hint="eastAsia" w:ascii="宋体" w:hAnsi="宋体" w:cs="宋体"/>
                <w:bCs/>
                <w:color w:val="auto"/>
                <w:szCs w:val="21"/>
                <w:highlight w:val="none"/>
              </w:rPr>
            </w:pPr>
          </w:p>
        </w:tc>
        <w:tc>
          <w:tcPr>
            <w:tcW w:w="0" w:type="auto"/>
            <w:shd w:val="clear" w:color="auto" w:fill="FFFFFF"/>
            <w:vAlign w:val="center"/>
          </w:tcPr>
          <w:p w14:paraId="44A664B1">
            <w:pPr>
              <w:jc w:val="left"/>
              <w:rPr>
                <w:rFonts w:hint="eastAsia" w:ascii="宋体" w:hAnsi="宋体" w:cs="宋体"/>
                <w:color w:val="auto"/>
                <w:szCs w:val="21"/>
                <w:highlight w:val="none"/>
              </w:rPr>
            </w:pPr>
            <w:r>
              <w:rPr>
                <w:rFonts w:hint="eastAsia" w:ascii="宋体" w:hAnsi="宋体" w:cs="宋体"/>
                <w:color w:val="auto"/>
                <w:szCs w:val="21"/>
                <w:highlight w:val="none"/>
              </w:rPr>
              <w:t>4.不与病人争吵或打架，用礼貌用语。做到“四轻”：走路轻、关门轻、说话轻、动作轻，不影响病人休息。</w:t>
            </w:r>
          </w:p>
        </w:tc>
        <w:tc>
          <w:tcPr>
            <w:tcW w:w="0" w:type="auto"/>
            <w:shd w:val="clear" w:color="auto" w:fill="FFFFFF"/>
            <w:vAlign w:val="center"/>
          </w:tcPr>
          <w:p w14:paraId="3E71B08B">
            <w:pPr>
              <w:jc w:val="center"/>
              <w:rPr>
                <w:rFonts w:hint="eastAsia" w:ascii="宋体" w:hAnsi="宋体" w:cs="宋体"/>
                <w:bCs/>
                <w:color w:val="auto"/>
                <w:szCs w:val="21"/>
                <w:highlight w:val="none"/>
              </w:rPr>
            </w:pPr>
            <w:r>
              <w:rPr>
                <w:rFonts w:hint="eastAsia" w:ascii="宋体" w:hAnsi="宋体" w:cs="宋体"/>
                <w:bCs/>
                <w:color w:val="auto"/>
                <w:szCs w:val="21"/>
                <w:highlight w:val="none"/>
              </w:rPr>
              <w:t>2</w:t>
            </w:r>
          </w:p>
        </w:tc>
      </w:tr>
      <w:tr w14:paraId="2E359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jc w:val="center"/>
        </w:trPr>
        <w:tc>
          <w:tcPr>
            <w:tcW w:w="0" w:type="auto"/>
            <w:vMerge w:val="continue"/>
            <w:vAlign w:val="center"/>
          </w:tcPr>
          <w:p w14:paraId="3CC1B663">
            <w:pPr>
              <w:jc w:val="center"/>
              <w:rPr>
                <w:rFonts w:hint="eastAsia" w:ascii="宋体" w:hAnsi="宋体" w:cs="宋体"/>
                <w:bCs/>
                <w:color w:val="auto"/>
                <w:szCs w:val="21"/>
                <w:highlight w:val="none"/>
              </w:rPr>
            </w:pPr>
          </w:p>
        </w:tc>
        <w:tc>
          <w:tcPr>
            <w:tcW w:w="0" w:type="auto"/>
            <w:shd w:val="clear" w:color="auto" w:fill="FFFFFF"/>
            <w:vAlign w:val="center"/>
          </w:tcPr>
          <w:p w14:paraId="6E7ED691">
            <w:pPr>
              <w:jc w:val="left"/>
              <w:rPr>
                <w:rFonts w:hint="eastAsia" w:ascii="宋体" w:hAnsi="宋体" w:cs="宋体"/>
                <w:bCs/>
                <w:color w:val="auto"/>
                <w:szCs w:val="21"/>
                <w:highlight w:val="none"/>
              </w:rPr>
            </w:pPr>
            <w:r>
              <w:rPr>
                <w:rFonts w:hint="eastAsia" w:ascii="宋体" w:hAnsi="宋体" w:cs="宋体"/>
                <w:bCs/>
                <w:color w:val="auto"/>
                <w:szCs w:val="21"/>
                <w:highlight w:val="none"/>
              </w:rPr>
              <w:t>5.不与病人谈论与工作无关的内容，禁止以照片、视频等任何形式泄露病人隐私。禁止私自为病区病人购物及向外传递物品、信件等。禁止向病人泄露工作人员家庭地址等个人信息。</w:t>
            </w:r>
          </w:p>
        </w:tc>
        <w:tc>
          <w:tcPr>
            <w:tcW w:w="0" w:type="auto"/>
            <w:shd w:val="clear" w:color="auto" w:fill="FFFFFF"/>
            <w:vAlign w:val="center"/>
          </w:tcPr>
          <w:p w14:paraId="12FA7A61">
            <w:pPr>
              <w:jc w:val="center"/>
              <w:rPr>
                <w:rFonts w:hint="eastAsia" w:ascii="宋体" w:hAnsi="宋体" w:cs="宋体"/>
                <w:bCs/>
                <w:color w:val="auto"/>
                <w:szCs w:val="21"/>
                <w:highlight w:val="none"/>
              </w:rPr>
            </w:pPr>
            <w:r>
              <w:rPr>
                <w:rFonts w:hint="eastAsia" w:ascii="宋体" w:hAnsi="宋体" w:cs="宋体"/>
                <w:bCs/>
                <w:color w:val="auto"/>
                <w:szCs w:val="21"/>
                <w:highlight w:val="none"/>
              </w:rPr>
              <w:t>2</w:t>
            </w:r>
          </w:p>
        </w:tc>
      </w:tr>
      <w:tr w14:paraId="588F2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jc w:val="center"/>
        </w:trPr>
        <w:tc>
          <w:tcPr>
            <w:tcW w:w="0" w:type="auto"/>
            <w:vMerge w:val="continue"/>
            <w:vAlign w:val="center"/>
          </w:tcPr>
          <w:p w14:paraId="5A1DB837">
            <w:pPr>
              <w:jc w:val="center"/>
              <w:rPr>
                <w:rFonts w:hint="eastAsia" w:ascii="宋体" w:hAnsi="宋体" w:cs="宋体"/>
                <w:bCs/>
                <w:color w:val="auto"/>
                <w:szCs w:val="21"/>
                <w:highlight w:val="none"/>
              </w:rPr>
            </w:pPr>
          </w:p>
        </w:tc>
        <w:tc>
          <w:tcPr>
            <w:tcW w:w="0" w:type="auto"/>
            <w:shd w:val="clear" w:color="auto" w:fill="FFFFFF"/>
            <w:vAlign w:val="center"/>
          </w:tcPr>
          <w:p w14:paraId="41310DF1">
            <w:pPr>
              <w:jc w:val="left"/>
              <w:rPr>
                <w:rFonts w:hint="eastAsia" w:ascii="宋体" w:hAnsi="宋体" w:cs="宋体"/>
                <w:bCs/>
                <w:color w:val="auto"/>
                <w:szCs w:val="21"/>
                <w:highlight w:val="none"/>
              </w:rPr>
            </w:pPr>
            <w:r>
              <w:rPr>
                <w:rFonts w:hint="eastAsia" w:ascii="宋体" w:hAnsi="宋体" w:cs="宋体"/>
                <w:bCs/>
                <w:color w:val="auto"/>
                <w:szCs w:val="21"/>
                <w:highlight w:val="none"/>
              </w:rPr>
              <w:t>6.不可长时间使用手机，不带除手机外的电子产品进入工作场所，无事不坐空房间。</w:t>
            </w:r>
          </w:p>
        </w:tc>
        <w:tc>
          <w:tcPr>
            <w:tcW w:w="0" w:type="auto"/>
            <w:shd w:val="clear" w:color="auto" w:fill="FFFFFF"/>
            <w:vAlign w:val="center"/>
          </w:tcPr>
          <w:p w14:paraId="11F0A8FA">
            <w:pPr>
              <w:jc w:val="center"/>
              <w:rPr>
                <w:rFonts w:hint="eastAsia" w:ascii="宋体" w:hAnsi="宋体" w:cs="宋体"/>
                <w:bCs/>
                <w:color w:val="auto"/>
                <w:szCs w:val="21"/>
                <w:highlight w:val="none"/>
              </w:rPr>
            </w:pPr>
            <w:r>
              <w:rPr>
                <w:rFonts w:hint="eastAsia" w:ascii="宋体" w:hAnsi="宋体" w:cs="宋体"/>
                <w:bCs/>
                <w:color w:val="auto"/>
                <w:szCs w:val="21"/>
                <w:highlight w:val="none"/>
              </w:rPr>
              <w:t>2</w:t>
            </w:r>
          </w:p>
        </w:tc>
      </w:tr>
      <w:tr w14:paraId="0324D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jc w:val="center"/>
        </w:trPr>
        <w:tc>
          <w:tcPr>
            <w:tcW w:w="0" w:type="auto"/>
            <w:vMerge w:val="continue"/>
            <w:vAlign w:val="center"/>
          </w:tcPr>
          <w:p w14:paraId="0769EC38">
            <w:pPr>
              <w:jc w:val="center"/>
              <w:rPr>
                <w:rFonts w:hint="eastAsia" w:ascii="宋体" w:hAnsi="宋体" w:cs="宋体"/>
                <w:bCs/>
                <w:color w:val="auto"/>
                <w:szCs w:val="21"/>
                <w:highlight w:val="none"/>
              </w:rPr>
            </w:pPr>
          </w:p>
        </w:tc>
        <w:tc>
          <w:tcPr>
            <w:tcW w:w="0" w:type="auto"/>
            <w:shd w:val="clear" w:color="auto" w:fill="FFFFFF"/>
            <w:vAlign w:val="center"/>
          </w:tcPr>
          <w:p w14:paraId="0597C97C">
            <w:pPr>
              <w:jc w:val="left"/>
              <w:rPr>
                <w:rFonts w:hint="eastAsia" w:ascii="宋体" w:hAnsi="宋体" w:cs="宋体"/>
                <w:bCs/>
                <w:color w:val="auto"/>
                <w:szCs w:val="21"/>
                <w:highlight w:val="none"/>
              </w:rPr>
            </w:pPr>
            <w:r>
              <w:rPr>
                <w:rFonts w:hint="eastAsia" w:ascii="宋体" w:hAnsi="宋体" w:cs="宋体"/>
                <w:bCs/>
                <w:color w:val="auto"/>
                <w:szCs w:val="21"/>
                <w:highlight w:val="none"/>
              </w:rPr>
              <w:t>7.落实巡视制度，定期检查监护病区病人、门窗等情况，发现问题及时补救及报告。</w:t>
            </w:r>
          </w:p>
        </w:tc>
        <w:tc>
          <w:tcPr>
            <w:tcW w:w="0" w:type="auto"/>
            <w:shd w:val="clear" w:color="auto" w:fill="FFFFFF"/>
            <w:vAlign w:val="center"/>
          </w:tcPr>
          <w:p w14:paraId="2B1942CF">
            <w:pPr>
              <w:jc w:val="center"/>
              <w:rPr>
                <w:rFonts w:hint="eastAsia" w:ascii="宋体" w:hAnsi="宋体" w:cs="宋体"/>
                <w:bCs/>
                <w:color w:val="auto"/>
                <w:szCs w:val="21"/>
                <w:highlight w:val="none"/>
              </w:rPr>
            </w:pPr>
            <w:r>
              <w:rPr>
                <w:rFonts w:hint="eastAsia" w:ascii="宋体" w:hAnsi="宋体" w:cs="宋体"/>
                <w:bCs/>
                <w:color w:val="auto"/>
                <w:szCs w:val="21"/>
                <w:highlight w:val="none"/>
              </w:rPr>
              <w:t>2</w:t>
            </w:r>
          </w:p>
        </w:tc>
      </w:tr>
      <w:tr w14:paraId="221E3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jc w:val="center"/>
        </w:trPr>
        <w:tc>
          <w:tcPr>
            <w:tcW w:w="0" w:type="auto"/>
            <w:vMerge w:val="continue"/>
            <w:vAlign w:val="center"/>
          </w:tcPr>
          <w:p w14:paraId="369332B9">
            <w:pPr>
              <w:jc w:val="center"/>
              <w:rPr>
                <w:rFonts w:hint="eastAsia" w:ascii="宋体" w:hAnsi="宋体" w:cs="宋体"/>
                <w:bCs/>
                <w:color w:val="auto"/>
                <w:szCs w:val="21"/>
                <w:highlight w:val="none"/>
              </w:rPr>
            </w:pPr>
          </w:p>
        </w:tc>
        <w:tc>
          <w:tcPr>
            <w:tcW w:w="0" w:type="auto"/>
            <w:shd w:val="clear" w:color="auto" w:fill="FFFFFF"/>
            <w:vAlign w:val="center"/>
          </w:tcPr>
          <w:p w14:paraId="480DA239">
            <w:pPr>
              <w:jc w:val="left"/>
              <w:rPr>
                <w:rFonts w:hint="eastAsia" w:ascii="宋体" w:hAnsi="宋体" w:cs="宋体"/>
                <w:bCs/>
                <w:color w:val="auto"/>
                <w:szCs w:val="21"/>
                <w:highlight w:val="none"/>
              </w:rPr>
            </w:pPr>
            <w:r>
              <w:rPr>
                <w:rFonts w:hint="eastAsia" w:ascii="宋体" w:hAnsi="宋体" w:cs="宋体"/>
                <w:bCs/>
                <w:color w:val="auto"/>
                <w:szCs w:val="21"/>
                <w:highlight w:val="none"/>
              </w:rPr>
              <w:t>8.知晓病房安全管理制度与巡视制度，掌握安全管理的重点及巡视的内容。不允许将玻璃杯、塑料凳、拖把等物品放到活动室、走廊等病人可以拿到的地方。</w:t>
            </w:r>
          </w:p>
        </w:tc>
        <w:tc>
          <w:tcPr>
            <w:tcW w:w="0" w:type="auto"/>
            <w:shd w:val="clear" w:color="auto" w:fill="FFFFFF"/>
            <w:vAlign w:val="center"/>
          </w:tcPr>
          <w:p w14:paraId="4E154C55">
            <w:pPr>
              <w:jc w:val="center"/>
              <w:rPr>
                <w:rFonts w:hint="eastAsia" w:ascii="宋体" w:hAnsi="宋体" w:cs="宋体"/>
                <w:bCs/>
                <w:color w:val="auto"/>
                <w:szCs w:val="21"/>
                <w:highlight w:val="none"/>
              </w:rPr>
            </w:pPr>
            <w:r>
              <w:rPr>
                <w:rFonts w:hint="eastAsia" w:ascii="宋体" w:hAnsi="宋体" w:cs="宋体"/>
                <w:bCs/>
                <w:color w:val="auto"/>
                <w:szCs w:val="21"/>
                <w:highlight w:val="none"/>
              </w:rPr>
              <w:t>2</w:t>
            </w:r>
          </w:p>
        </w:tc>
      </w:tr>
      <w:tr w14:paraId="599DC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jc w:val="center"/>
        </w:trPr>
        <w:tc>
          <w:tcPr>
            <w:tcW w:w="0" w:type="auto"/>
            <w:vMerge w:val="continue"/>
            <w:vAlign w:val="center"/>
          </w:tcPr>
          <w:p w14:paraId="7CC020AD">
            <w:pPr>
              <w:jc w:val="center"/>
              <w:rPr>
                <w:rFonts w:hint="eastAsia" w:ascii="宋体" w:hAnsi="宋体" w:cs="宋体"/>
                <w:bCs/>
                <w:color w:val="auto"/>
                <w:szCs w:val="21"/>
                <w:highlight w:val="none"/>
              </w:rPr>
            </w:pPr>
          </w:p>
        </w:tc>
        <w:tc>
          <w:tcPr>
            <w:tcW w:w="0" w:type="auto"/>
            <w:shd w:val="clear" w:color="auto" w:fill="FFFFFF"/>
            <w:vAlign w:val="center"/>
          </w:tcPr>
          <w:p w14:paraId="71B279A4">
            <w:pPr>
              <w:jc w:val="left"/>
              <w:rPr>
                <w:rFonts w:hint="eastAsia" w:ascii="宋体" w:hAnsi="宋体" w:cs="宋体"/>
                <w:bCs/>
                <w:color w:val="auto"/>
                <w:szCs w:val="21"/>
                <w:highlight w:val="none"/>
              </w:rPr>
            </w:pPr>
            <w:r>
              <w:rPr>
                <w:rFonts w:hint="eastAsia" w:ascii="宋体" w:hAnsi="宋体" w:cs="宋体"/>
                <w:bCs/>
                <w:color w:val="auto"/>
                <w:szCs w:val="21"/>
                <w:highlight w:val="none"/>
              </w:rPr>
              <w:t>9.护工严格保管门禁卡及钥匙，如有丢失，及时报告病区护士长及相应的负责人。随手关门，不得私自将活动室病人放入病房内。</w:t>
            </w:r>
          </w:p>
        </w:tc>
        <w:tc>
          <w:tcPr>
            <w:tcW w:w="0" w:type="auto"/>
            <w:shd w:val="clear" w:color="auto" w:fill="FFFFFF"/>
            <w:vAlign w:val="center"/>
          </w:tcPr>
          <w:p w14:paraId="66F17EE3">
            <w:pPr>
              <w:jc w:val="center"/>
              <w:rPr>
                <w:rFonts w:hint="eastAsia" w:ascii="宋体" w:hAnsi="宋体" w:cs="宋体"/>
                <w:bCs/>
                <w:color w:val="auto"/>
                <w:szCs w:val="21"/>
                <w:highlight w:val="none"/>
              </w:rPr>
            </w:pPr>
            <w:r>
              <w:rPr>
                <w:rFonts w:hint="eastAsia" w:ascii="宋体" w:hAnsi="宋体" w:cs="宋体"/>
                <w:bCs/>
                <w:color w:val="auto"/>
                <w:szCs w:val="21"/>
                <w:highlight w:val="none"/>
              </w:rPr>
              <w:t>2</w:t>
            </w:r>
          </w:p>
        </w:tc>
      </w:tr>
      <w:tr w14:paraId="7D40C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jc w:val="center"/>
        </w:trPr>
        <w:tc>
          <w:tcPr>
            <w:tcW w:w="0" w:type="auto"/>
            <w:vMerge w:val="continue"/>
            <w:vAlign w:val="center"/>
          </w:tcPr>
          <w:p w14:paraId="1460E036">
            <w:pPr>
              <w:jc w:val="center"/>
              <w:rPr>
                <w:rFonts w:hint="eastAsia" w:ascii="宋体" w:hAnsi="宋体" w:cs="宋体"/>
                <w:bCs/>
                <w:color w:val="auto"/>
                <w:szCs w:val="21"/>
                <w:highlight w:val="none"/>
              </w:rPr>
            </w:pPr>
          </w:p>
        </w:tc>
        <w:tc>
          <w:tcPr>
            <w:tcW w:w="0" w:type="auto"/>
            <w:shd w:val="clear" w:color="auto" w:fill="FFFFFF"/>
            <w:vAlign w:val="center"/>
          </w:tcPr>
          <w:p w14:paraId="638636A1">
            <w:pPr>
              <w:jc w:val="left"/>
              <w:rPr>
                <w:rFonts w:hint="eastAsia" w:ascii="宋体" w:hAnsi="宋体" w:cs="宋体"/>
                <w:bCs/>
                <w:color w:val="auto"/>
                <w:szCs w:val="21"/>
                <w:highlight w:val="none"/>
              </w:rPr>
            </w:pPr>
            <w:r>
              <w:rPr>
                <w:rFonts w:hint="eastAsia" w:ascii="宋体" w:hAnsi="宋体" w:cs="宋体"/>
                <w:bCs/>
                <w:color w:val="auto"/>
                <w:szCs w:val="21"/>
                <w:highlight w:val="none"/>
              </w:rPr>
              <w:t>10.主要照料病人的生活起居，为病人理发、剃须、修指甲、洗澡等，避免病人烫伤、跌倒，发现问题及时补救和报告，服从护士长及护士的工作安排。</w:t>
            </w:r>
          </w:p>
        </w:tc>
        <w:tc>
          <w:tcPr>
            <w:tcW w:w="0" w:type="auto"/>
            <w:shd w:val="clear" w:color="auto" w:fill="FFFFFF"/>
            <w:vAlign w:val="center"/>
          </w:tcPr>
          <w:p w14:paraId="2EEAB57A">
            <w:pPr>
              <w:jc w:val="center"/>
              <w:rPr>
                <w:rFonts w:hint="eastAsia" w:ascii="宋体" w:hAnsi="宋体" w:cs="宋体"/>
                <w:bCs/>
                <w:color w:val="auto"/>
                <w:szCs w:val="21"/>
                <w:highlight w:val="none"/>
              </w:rPr>
            </w:pPr>
            <w:r>
              <w:rPr>
                <w:rFonts w:hint="eastAsia" w:ascii="宋体" w:hAnsi="宋体" w:cs="宋体"/>
                <w:bCs/>
                <w:color w:val="auto"/>
                <w:szCs w:val="21"/>
                <w:highlight w:val="none"/>
              </w:rPr>
              <w:t>1</w:t>
            </w:r>
          </w:p>
        </w:tc>
      </w:tr>
      <w:tr w14:paraId="51712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jc w:val="center"/>
        </w:trPr>
        <w:tc>
          <w:tcPr>
            <w:tcW w:w="0" w:type="auto"/>
            <w:vMerge w:val="continue"/>
            <w:vAlign w:val="center"/>
          </w:tcPr>
          <w:p w14:paraId="3A27124C">
            <w:pPr>
              <w:jc w:val="center"/>
              <w:rPr>
                <w:rFonts w:hint="eastAsia" w:ascii="宋体" w:hAnsi="宋体" w:cs="宋体"/>
                <w:bCs/>
                <w:color w:val="auto"/>
                <w:szCs w:val="21"/>
                <w:highlight w:val="none"/>
              </w:rPr>
            </w:pPr>
          </w:p>
        </w:tc>
        <w:tc>
          <w:tcPr>
            <w:tcW w:w="0" w:type="auto"/>
            <w:shd w:val="clear" w:color="auto" w:fill="FFFFFF"/>
            <w:vAlign w:val="center"/>
          </w:tcPr>
          <w:p w14:paraId="07F5B445">
            <w:pPr>
              <w:jc w:val="left"/>
              <w:rPr>
                <w:rFonts w:hint="eastAsia" w:ascii="宋体" w:hAnsi="宋体" w:cs="宋体"/>
                <w:bCs/>
                <w:color w:val="auto"/>
                <w:szCs w:val="21"/>
                <w:highlight w:val="none"/>
              </w:rPr>
            </w:pPr>
            <w:r>
              <w:rPr>
                <w:rFonts w:hint="eastAsia" w:ascii="宋体" w:hAnsi="宋体" w:cs="宋体"/>
                <w:bCs/>
                <w:color w:val="auto"/>
                <w:szCs w:val="21"/>
                <w:highlight w:val="none"/>
              </w:rPr>
              <w:t>11.负责病人用餐情况，避免病人抢食、争吵、或发生窒息等情况及时制止，并报告医护人员。不允许私自给病人发放食物。</w:t>
            </w:r>
          </w:p>
        </w:tc>
        <w:tc>
          <w:tcPr>
            <w:tcW w:w="0" w:type="auto"/>
            <w:shd w:val="clear" w:color="auto" w:fill="FFFFFF"/>
            <w:vAlign w:val="center"/>
          </w:tcPr>
          <w:p w14:paraId="7811798E">
            <w:pPr>
              <w:jc w:val="center"/>
              <w:rPr>
                <w:rFonts w:hint="eastAsia" w:ascii="宋体" w:hAnsi="宋体" w:cs="宋体"/>
                <w:bCs/>
                <w:color w:val="auto"/>
                <w:szCs w:val="21"/>
                <w:highlight w:val="none"/>
              </w:rPr>
            </w:pPr>
            <w:r>
              <w:rPr>
                <w:rFonts w:hint="eastAsia" w:ascii="宋体" w:hAnsi="宋体" w:cs="宋体"/>
                <w:bCs/>
                <w:color w:val="auto"/>
                <w:szCs w:val="21"/>
                <w:highlight w:val="none"/>
              </w:rPr>
              <w:t>2</w:t>
            </w:r>
          </w:p>
        </w:tc>
      </w:tr>
      <w:tr w14:paraId="562C1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jc w:val="center"/>
        </w:trPr>
        <w:tc>
          <w:tcPr>
            <w:tcW w:w="0" w:type="auto"/>
            <w:vMerge w:val="continue"/>
            <w:vAlign w:val="center"/>
          </w:tcPr>
          <w:p w14:paraId="7D44C502">
            <w:pPr>
              <w:jc w:val="center"/>
              <w:rPr>
                <w:rFonts w:hint="eastAsia" w:ascii="宋体" w:hAnsi="宋体" w:cs="宋体"/>
                <w:bCs/>
                <w:color w:val="auto"/>
                <w:szCs w:val="21"/>
                <w:highlight w:val="none"/>
              </w:rPr>
            </w:pPr>
          </w:p>
        </w:tc>
        <w:tc>
          <w:tcPr>
            <w:tcW w:w="0" w:type="auto"/>
            <w:shd w:val="clear" w:color="auto" w:fill="FFFFFF"/>
            <w:vAlign w:val="center"/>
          </w:tcPr>
          <w:p w14:paraId="5246E9FE">
            <w:pPr>
              <w:jc w:val="left"/>
              <w:rPr>
                <w:rFonts w:hint="eastAsia" w:ascii="宋体" w:hAnsi="宋体" w:cs="宋体"/>
                <w:bCs/>
                <w:color w:val="auto"/>
                <w:szCs w:val="21"/>
                <w:highlight w:val="none"/>
              </w:rPr>
            </w:pPr>
            <w:r>
              <w:rPr>
                <w:rFonts w:hint="eastAsia" w:ascii="宋体" w:hAnsi="宋体" w:cs="宋体"/>
                <w:bCs/>
                <w:color w:val="auto"/>
                <w:szCs w:val="21"/>
                <w:highlight w:val="none"/>
              </w:rPr>
              <w:t>12.病人在开放时或护送做专项检查，须清点人数，监护病人的动态，避免病人外逃或意外情况，一旦发现负责追寻或报告医护人员。</w:t>
            </w:r>
          </w:p>
        </w:tc>
        <w:tc>
          <w:tcPr>
            <w:tcW w:w="0" w:type="auto"/>
            <w:shd w:val="clear" w:color="auto" w:fill="FFFFFF"/>
            <w:vAlign w:val="center"/>
          </w:tcPr>
          <w:p w14:paraId="058B9051">
            <w:pPr>
              <w:jc w:val="center"/>
              <w:rPr>
                <w:rFonts w:hint="eastAsia" w:ascii="宋体" w:hAnsi="宋体" w:cs="宋体"/>
                <w:bCs/>
                <w:color w:val="auto"/>
                <w:szCs w:val="21"/>
                <w:highlight w:val="none"/>
              </w:rPr>
            </w:pPr>
            <w:r>
              <w:rPr>
                <w:rFonts w:hint="eastAsia" w:ascii="宋体" w:hAnsi="宋体" w:cs="宋体"/>
                <w:bCs/>
                <w:color w:val="auto"/>
                <w:szCs w:val="21"/>
                <w:highlight w:val="none"/>
              </w:rPr>
              <w:t>2</w:t>
            </w:r>
          </w:p>
        </w:tc>
      </w:tr>
      <w:tr w14:paraId="25C2E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jc w:val="center"/>
        </w:trPr>
        <w:tc>
          <w:tcPr>
            <w:tcW w:w="0" w:type="auto"/>
            <w:vMerge w:val="continue"/>
            <w:vAlign w:val="center"/>
          </w:tcPr>
          <w:p w14:paraId="7519F1E4">
            <w:pPr>
              <w:jc w:val="center"/>
              <w:rPr>
                <w:rFonts w:hint="eastAsia" w:ascii="宋体" w:hAnsi="宋体" w:cs="宋体"/>
                <w:bCs/>
                <w:color w:val="auto"/>
                <w:szCs w:val="21"/>
                <w:highlight w:val="none"/>
              </w:rPr>
            </w:pPr>
          </w:p>
        </w:tc>
        <w:tc>
          <w:tcPr>
            <w:tcW w:w="0" w:type="auto"/>
            <w:shd w:val="clear" w:color="auto" w:fill="FFFFFF"/>
            <w:vAlign w:val="center"/>
          </w:tcPr>
          <w:p w14:paraId="7F61B268">
            <w:pPr>
              <w:jc w:val="left"/>
              <w:rPr>
                <w:rFonts w:hint="eastAsia" w:ascii="宋体" w:hAnsi="宋体" w:cs="宋体"/>
                <w:bCs/>
                <w:color w:val="auto"/>
                <w:szCs w:val="21"/>
                <w:highlight w:val="none"/>
              </w:rPr>
            </w:pPr>
            <w:r>
              <w:rPr>
                <w:rFonts w:hint="eastAsia" w:ascii="宋体" w:hAnsi="宋体" w:cs="宋体"/>
                <w:bCs/>
                <w:color w:val="auto"/>
                <w:szCs w:val="21"/>
                <w:highlight w:val="none"/>
              </w:rPr>
              <w:t>13.及时报告护理（安全）不良事件，如跌倒、打架等，不得瞒报、漏报。</w:t>
            </w:r>
          </w:p>
        </w:tc>
        <w:tc>
          <w:tcPr>
            <w:tcW w:w="0" w:type="auto"/>
            <w:shd w:val="clear" w:color="auto" w:fill="FFFFFF"/>
            <w:vAlign w:val="center"/>
          </w:tcPr>
          <w:p w14:paraId="62064647">
            <w:pPr>
              <w:jc w:val="center"/>
              <w:rPr>
                <w:rFonts w:hint="eastAsia" w:ascii="宋体" w:hAnsi="宋体" w:cs="宋体"/>
                <w:bCs/>
                <w:color w:val="auto"/>
                <w:szCs w:val="21"/>
                <w:highlight w:val="none"/>
              </w:rPr>
            </w:pPr>
            <w:r>
              <w:rPr>
                <w:rFonts w:hint="eastAsia" w:ascii="宋体" w:hAnsi="宋体" w:cs="宋体"/>
                <w:bCs/>
                <w:color w:val="auto"/>
                <w:szCs w:val="21"/>
                <w:highlight w:val="none"/>
              </w:rPr>
              <w:t>1</w:t>
            </w:r>
          </w:p>
        </w:tc>
      </w:tr>
      <w:tr w14:paraId="75990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jc w:val="center"/>
        </w:trPr>
        <w:tc>
          <w:tcPr>
            <w:tcW w:w="0" w:type="auto"/>
            <w:vMerge w:val="continue"/>
            <w:vAlign w:val="center"/>
          </w:tcPr>
          <w:p w14:paraId="421B746B">
            <w:pPr>
              <w:jc w:val="center"/>
              <w:rPr>
                <w:rFonts w:hint="eastAsia" w:ascii="宋体" w:hAnsi="宋体" w:cs="宋体"/>
                <w:bCs/>
                <w:color w:val="auto"/>
                <w:szCs w:val="21"/>
                <w:highlight w:val="none"/>
              </w:rPr>
            </w:pPr>
          </w:p>
        </w:tc>
        <w:tc>
          <w:tcPr>
            <w:tcW w:w="0" w:type="auto"/>
            <w:shd w:val="clear" w:color="auto" w:fill="FFFFFF"/>
            <w:vAlign w:val="center"/>
          </w:tcPr>
          <w:p w14:paraId="324E1672">
            <w:pPr>
              <w:jc w:val="left"/>
              <w:rPr>
                <w:rFonts w:hint="eastAsia" w:ascii="宋体" w:hAnsi="宋体" w:cs="宋体"/>
                <w:bCs/>
                <w:color w:val="auto"/>
                <w:szCs w:val="21"/>
                <w:highlight w:val="none"/>
              </w:rPr>
            </w:pPr>
            <w:r>
              <w:rPr>
                <w:rFonts w:hint="eastAsia" w:ascii="宋体" w:hAnsi="宋体" w:cs="宋体"/>
                <w:bCs/>
                <w:color w:val="auto"/>
                <w:szCs w:val="21"/>
                <w:highlight w:val="none"/>
              </w:rPr>
              <w:t>14.发生护理（安全）不良事件，造成病人伤害或医院公共物品损坏的，护工存在失职情况的</w:t>
            </w:r>
          </w:p>
        </w:tc>
        <w:tc>
          <w:tcPr>
            <w:tcW w:w="0" w:type="auto"/>
            <w:shd w:val="clear" w:color="auto" w:fill="FFFFFF"/>
            <w:vAlign w:val="center"/>
          </w:tcPr>
          <w:p w14:paraId="78BFEAA1">
            <w:pPr>
              <w:jc w:val="center"/>
              <w:rPr>
                <w:rFonts w:hint="eastAsia" w:ascii="宋体" w:hAnsi="宋体" w:cs="宋体"/>
                <w:bCs/>
                <w:color w:val="auto"/>
                <w:szCs w:val="21"/>
                <w:highlight w:val="none"/>
              </w:rPr>
            </w:pPr>
            <w:r>
              <w:rPr>
                <w:rFonts w:hint="eastAsia" w:ascii="宋体" w:hAnsi="宋体" w:cs="宋体"/>
                <w:bCs/>
                <w:color w:val="auto"/>
                <w:szCs w:val="21"/>
                <w:highlight w:val="none"/>
              </w:rPr>
              <w:t>2</w:t>
            </w:r>
          </w:p>
        </w:tc>
      </w:tr>
      <w:tr w14:paraId="680BE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jc w:val="center"/>
        </w:trPr>
        <w:tc>
          <w:tcPr>
            <w:tcW w:w="0" w:type="auto"/>
            <w:vMerge w:val="continue"/>
            <w:vAlign w:val="center"/>
          </w:tcPr>
          <w:p w14:paraId="0B8D57D0">
            <w:pPr>
              <w:jc w:val="center"/>
              <w:rPr>
                <w:rFonts w:hint="eastAsia" w:ascii="宋体" w:hAnsi="宋体" w:cs="宋体"/>
                <w:bCs/>
                <w:color w:val="auto"/>
                <w:szCs w:val="21"/>
                <w:highlight w:val="none"/>
              </w:rPr>
            </w:pPr>
          </w:p>
        </w:tc>
        <w:tc>
          <w:tcPr>
            <w:tcW w:w="0" w:type="auto"/>
            <w:shd w:val="clear" w:color="auto" w:fill="FFFFFF"/>
            <w:vAlign w:val="center"/>
          </w:tcPr>
          <w:p w14:paraId="486E8EB8">
            <w:pPr>
              <w:jc w:val="left"/>
              <w:rPr>
                <w:rFonts w:hint="eastAsia" w:ascii="宋体" w:hAnsi="宋体" w:cs="宋体"/>
                <w:bCs/>
                <w:color w:val="auto"/>
                <w:szCs w:val="21"/>
                <w:highlight w:val="none"/>
              </w:rPr>
            </w:pPr>
            <w:r>
              <w:rPr>
                <w:rFonts w:hint="eastAsia" w:ascii="宋体" w:hAnsi="宋体" w:cs="宋体"/>
                <w:bCs/>
                <w:color w:val="auto"/>
                <w:szCs w:val="21"/>
                <w:highlight w:val="none"/>
              </w:rPr>
              <w:t>15.病人发生病情突变时，护工应积极配合医务人员做好抢救工作</w:t>
            </w:r>
          </w:p>
        </w:tc>
        <w:tc>
          <w:tcPr>
            <w:tcW w:w="0" w:type="auto"/>
            <w:shd w:val="clear" w:color="auto" w:fill="FFFFFF"/>
            <w:vAlign w:val="center"/>
          </w:tcPr>
          <w:p w14:paraId="5465FF9C">
            <w:pPr>
              <w:jc w:val="center"/>
              <w:rPr>
                <w:rFonts w:hint="eastAsia" w:ascii="宋体" w:hAnsi="宋体" w:cs="宋体"/>
                <w:bCs/>
                <w:color w:val="auto"/>
                <w:szCs w:val="21"/>
                <w:highlight w:val="none"/>
              </w:rPr>
            </w:pPr>
            <w:r>
              <w:rPr>
                <w:rFonts w:hint="eastAsia" w:ascii="宋体" w:hAnsi="宋体" w:cs="宋体"/>
                <w:bCs/>
                <w:color w:val="auto"/>
                <w:szCs w:val="21"/>
                <w:highlight w:val="none"/>
              </w:rPr>
              <w:t>1</w:t>
            </w:r>
          </w:p>
        </w:tc>
      </w:tr>
      <w:tr w14:paraId="13563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jc w:val="center"/>
        </w:trPr>
        <w:tc>
          <w:tcPr>
            <w:tcW w:w="0" w:type="auto"/>
            <w:vMerge w:val="restart"/>
            <w:vAlign w:val="center"/>
          </w:tcPr>
          <w:p w14:paraId="2C31E5C3">
            <w:pPr>
              <w:jc w:val="center"/>
              <w:rPr>
                <w:rFonts w:hint="eastAsia" w:ascii="宋体" w:hAnsi="宋体" w:cs="宋体"/>
                <w:bCs/>
                <w:color w:val="auto"/>
                <w:szCs w:val="21"/>
                <w:highlight w:val="none"/>
              </w:rPr>
            </w:pPr>
            <w:r>
              <w:rPr>
                <w:rFonts w:hint="eastAsia" w:ascii="宋体" w:hAnsi="宋体" w:cs="宋体"/>
                <w:bCs/>
                <w:color w:val="auto"/>
                <w:szCs w:val="21"/>
                <w:highlight w:val="none"/>
              </w:rPr>
              <w:t>C</w:t>
            </w:r>
          </w:p>
        </w:tc>
        <w:tc>
          <w:tcPr>
            <w:tcW w:w="0" w:type="auto"/>
            <w:shd w:val="clear" w:color="auto" w:fill="C0C0C0"/>
            <w:vAlign w:val="center"/>
          </w:tcPr>
          <w:p w14:paraId="114828B5">
            <w:pPr>
              <w:jc w:val="center"/>
              <w:rPr>
                <w:rFonts w:hint="eastAsia" w:ascii="宋体" w:hAnsi="宋体" w:cs="宋体"/>
                <w:bCs/>
                <w:color w:val="auto"/>
                <w:szCs w:val="21"/>
                <w:highlight w:val="none"/>
              </w:rPr>
            </w:pPr>
            <w:r>
              <w:rPr>
                <w:rFonts w:hint="eastAsia" w:ascii="宋体" w:hAnsi="宋体" w:cs="宋体"/>
                <w:bCs/>
                <w:color w:val="auto"/>
                <w:szCs w:val="21"/>
                <w:highlight w:val="none"/>
              </w:rPr>
              <w:t>保管员</w:t>
            </w:r>
          </w:p>
        </w:tc>
        <w:tc>
          <w:tcPr>
            <w:tcW w:w="0" w:type="auto"/>
            <w:shd w:val="clear" w:color="auto" w:fill="C0C0C0"/>
            <w:vAlign w:val="center"/>
          </w:tcPr>
          <w:p w14:paraId="184E6A71">
            <w:pPr>
              <w:jc w:val="center"/>
              <w:rPr>
                <w:rFonts w:hint="eastAsia" w:ascii="宋体" w:hAnsi="宋体" w:cs="宋体"/>
                <w:bCs/>
                <w:color w:val="auto"/>
                <w:szCs w:val="21"/>
                <w:highlight w:val="none"/>
              </w:rPr>
            </w:pPr>
            <w:r>
              <w:rPr>
                <w:rFonts w:hint="eastAsia" w:ascii="宋体" w:hAnsi="宋体" w:cs="宋体"/>
                <w:bCs/>
                <w:color w:val="auto"/>
                <w:szCs w:val="21"/>
                <w:highlight w:val="none"/>
              </w:rPr>
              <w:t>14</w:t>
            </w:r>
          </w:p>
        </w:tc>
      </w:tr>
      <w:tr w14:paraId="4F19A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jc w:val="center"/>
        </w:trPr>
        <w:tc>
          <w:tcPr>
            <w:tcW w:w="0" w:type="auto"/>
            <w:vMerge w:val="continue"/>
            <w:vAlign w:val="center"/>
          </w:tcPr>
          <w:p w14:paraId="6E8FB500">
            <w:pPr>
              <w:jc w:val="center"/>
              <w:rPr>
                <w:rFonts w:hint="eastAsia" w:ascii="宋体" w:hAnsi="宋体" w:cs="宋体"/>
                <w:bCs/>
                <w:color w:val="auto"/>
                <w:szCs w:val="21"/>
                <w:highlight w:val="none"/>
              </w:rPr>
            </w:pPr>
          </w:p>
        </w:tc>
        <w:tc>
          <w:tcPr>
            <w:tcW w:w="0" w:type="auto"/>
            <w:vAlign w:val="center"/>
          </w:tcPr>
          <w:p w14:paraId="1A1FB4EB">
            <w:pPr>
              <w:rPr>
                <w:rFonts w:hint="eastAsia" w:ascii="宋体" w:hAnsi="宋体" w:cs="宋体"/>
                <w:bCs/>
                <w:color w:val="auto"/>
                <w:szCs w:val="21"/>
                <w:highlight w:val="none"/>
              </w:rPr>
            </w:pPr>
            <w:r>
              <w:rPr>
                <w:rFonts w:hint="eastAsia" w:ascii="宋体" w:hAnsi="宋体" w:cs="宋体"/>
                <w:bCs/>
                <w:color w:val="auto"/>
                <w:szCs w:val="21"/>
                <w:highlight w:val="none"/>
              </w:rPr>
              <w:t>1、保管员负责保管好病人住院期间的一切物品，防止损坏或遗失。</w:t>
            </w:r>
          </w:p>
        </w:tc>
        <w:tc>
          <w:tcPr>
            <w:tcW w:w="0" w:type="auto"/>
            <w:vAlign w:val="center"/>
          </w:tcPr>
          <w:p w14:paraId="4D6C4ED9">
            <w:pPr>
              <w:jc w:val="center"/>
              <w:rPr>
                <w:rFonts w:hint="eastAsia" w:ascii="宋体" w:hAnsi="宋体" w:cs="宋体"/>
                <w:bCs/>
                <w:color w:val="auto"/>
                <w:szCs w:val="21"/>
                <w:highlight w:val="none"/>
              </w:rPr>
            </w:pPr>
            <w:r>
              <w:rPr>
                <w:rFonts w:hint="eastAsia" w:ascii="宋体" w:hAnsi="宋体" w:cs="宋体"/>
                <w:bCs/>
                <w:color w:val="auto"/>
                <w:szCs w:val="21"/>
                <w:highlight w:val="none"/>
              </w:rPr>
              <w:t>2</w:t>
            </w:r>
          </w:p>
        </w:tc>
      </w:tr>
      <w:tr w14:paraId="45064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 w:hRule="atLeast"/>
          <w:jc w:val="center"/>
        </w:trPr>
        <w:tc>
          <w:tcPr>
            <w:tcW w:w="0" w:type="auto"/>
            <w:vMerge w:val="continue"/>
            <w:vAlign w:val="center"/>
          </w:tcPr>
          <w:p w14:paraId="26FBAA41">
            <w:pPr>
              <w:jc w:val="center"/>
              <w:rPr>
                <w:rFonts w:hint="eastAsia" w:ascii="宋体" w:hAnsi="宋体" w:cs="宋体"/>
                <w:bCs/>
                <w:color w:val="auto"/>
                <w:szCs w:val="21"/>
                <w:highlight w:val="none"/>
              </w:rPr>
            </w:pPr>
          </w:p>
        </w:tc>
        <w:tc>
          <w:tcPr>
            <w:tcW w:w="0" w:type="auto"/>
            <w:vAlign w:val="center"/>
          </w:tcPr>
          <w:p w14:paraId="1FBF4DD7">
            <w:pPr>
              <w:rPr>
                <w:rFonts w:hint="eastAsia" w:ascii="宋体" w:hAnsi="宋体" w:cs="宋体"/>
                <w:bCs/>
                <w:color w:val="auto"/>
                <w:szCs w:val="21"/>
                <w:highlight w:val="none"/>
              </w:rPr>
            </w:pPr>
            <w:r>
              <w:rPr>
                <w:rFonts w:hint="eastAsia" w:ascii="宋体" w:hAnsi="宋体" w:cs="宋体"/>
                <w:bCs/>
                <w:color w:val="auto"/>
                <w:szCs w:val="21"/>
                <w:highlight w:val="none"/>
              </w:rPr>
              <w:t>2、病人入院时，保管员应逐项检查、登记生活用品及衣物，并做好标记。建立“病人存物登记本”，收存与取物双方签名，以备查证。严防违禁物品带入病房。</w:t>
            </w:r>
          </w:p>
        </w:tc>
        <w:tc>
          <w:tcPr>
            <w:tcW w:w="0" w:type="auto"/>
            <w:vAlign w:val="center"/>
          </w:tcPr>
          <w:p w14:paraId="0919FCDD">
            <w:pPr>
              <w:jc w:val="center"/>
              <w:rPr>
                <w:rFonts w:hint="eastAsia" w:ascii="宋体" w:hAnsi="宋体" w:cs="宋体"/>
                <w:bCs/>
                <w:color w:val="auto"/>
                <w:szCs w:val="21"/>
                <w:highlight w:val="none"/>
              </w:rPr>
            </w:pPr>
            <w:r>
              <w:rPr>
                <w:rFonts w:hint="eastAsia" w:ascii="宋体" w:hAnsi="宋体" w:cs="宋体"/>
                <w:bCs/>
                <w:color w:val="auto"/>
                <w:szCs w:val="21"/>
                <w:highlight w:val="none"/>
              </w:rPr>
              <w:t>2</w:t>
            </w:r>
          </w:p>
        </w:tc>
      </w:tr>
      <w:tr w14:paraId="21E4A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 w:hRule="atLeast"/>
          <w:jc w:val="center"/>
        </w:trPr>
        <w:tc>
          <w:tcPr>
            <w:tcW w:w="0" w:type="auto"/>
            <w:vMerge w:val="continue"/>
            <w:vAlign w:val="center"/>
          </w:tcPr>
          <w:p w14:paraId="1E340B70">
            <w:pPr>
              <w:jc w:val="center"/>
              <w:rPr>
                <w:rFonts w:hint="eastAsia" w:ascii="宋体" w:hAnsi="宋体" w:cs="宋体"/>
                <w:bCs/>
                <w:color w:val="auto"/>
                <w:szCs w:val="21"/>
                <w:highlight w:val="none"/>
              </w:rPr>
            </w:pPr>
          </w:p>
        </w:tc>
        <w:tc>
          <w:tcPr>
            <w:tcW w:w="0" w:type="auto"/>
            <w:vAlign w:val="center"/>
          </w:tcPr>
          <w:p w14:paraId="4DA79C35">
            <w:pPr>
              <w:rPr>
                <w:rFonts w:hint="eastAsia" w:ascii="宋体" w:hAnsi="宋体" w:cs="宋体"/>
                <w:bCs/>
                <w:color w:val="auto"/>
                <w:szCs w:val="21"/>
                <w:highlight w:val="none"/>
              </w:rPr>
            </w:pPr>
            <w:r>
              <w:rPr>
                <w:rFonts w:hint="eastAsia" w:ascii="宋体" w:hAnsi="宋体" w:cs="宋体"/>
                <w:bCs/>
                <w:color w:val="auto"/>
                <w:szCs w:val="21"/>
                <w:highlight w:val="none"/>
              </w:rPr>
              <w:t>3、贵重物品由护送人员清点签字带回，特殊情况由护士长签名留存。</w:t>
            </w:r>
          </w:p>
        </w:tc>
        <w:tc>
          <w:tcPr>
            <w:tcW w:w="0" w:type="auto"/>
            <w:vAlign w:val="center"/>
          </w:tcPr>
          <w:p w14:paraId="322072E6">
            <w:pPr>
              <w:jc w:val="center"/>
              <w:rPr>
                <w:rFonts w:hint="eastAsia" w:ascii="宋体" w:hAnsi="宋体" w:cs="宋体"/>
                <w:bCs/>
                <w:color w:val="auto"/>
                <w:szCs w:val="21"/>
                <w:highlight w:val="none"/>
              </w:rPr>
            </w:pPr>
            <w:r>
              <w:rPr>
                <w:rFonts w:hint="eastAsia" w:ascii="宋体" w:hAnsi="宋体" w:cs="宋体"/>
                <w:bCs/>
                <w:color w:val="auto"/>
                <w:szCs w:val="21"/>
                <w:highlight w:val="none"/>
              </w:rPr>
              <w:t>2</w:t>
            </w:r>
          </w:p>
        </w:tc>
      </w:tr>
      <w:tr w14:paraId="50D13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 w:hRule="atLeast"/>
          <w:jc w:val="center"/>
        </w:trPr>
        <w:tc>
          <w:tcPr>
            <w:tcW w:w="0" w:type="auto"/>
            <w:vMerge w:val="continue"/>
            <w:vAlign w:val="center"/>
          </w:tcPr>
          <w:p w14:paraId="5CBF9CD7">
            <w:pPr>
              <w:jc w:val="center"/>
              <w:rPr>
                <w:rFonts w:hint="eastAsia" w:ascii="宋体" w:hAnsi="宋体" w:cs="宋体"/>
                <w:bCs/>
                <w:color w:val="auto"/>
                <w:szCs w:val="21"/>
                <w:highlight w:val="none"/>
              </w:rPr>
            </w:pPr>
          </w:p>
        </w:tc>
        <w:tc>
          <w:tcPr>
            <w:tcW w:w="0" w:type="auto"/>
            <w:vAlign w:val="center"/>
          </w:tcPr>
          <w:p w14:paraId="3DF0C3B7">
            <w:pPr>
              <w:spacing w:line="360" w:lineRule="auto"/>
              <w:ind w:hanging="10"/>
              <w:rPr>
                <w:rFonts w:hint="eastAsia" w:ascii="宋体" w:hAnsi="宋体" w:cs="宋体"/>
                <w:bCs/>
                <w:color w:val="auto"/>
                <w:szCs w:val="21"/>
                <w:highlight w:val="none"/>
              </w:rPr>
            </w:pPr>
            <w:r>
              <w:rPr>
                <w:rFonts w:hint="eastAsia" w:ascii="宋体" w:hAnsi="宋体" w:cs="宋体"/>
                <w:bCs/>
                <w:color w:val="auto"/>
                <w:szCs w:val="21"/>
                <w:highlight w:val="none"/>
              </w:rPr>
              <w:t>4、家属探视时带入的食品（除粽子、团子、包子、茶叶蛋、坚果类、有核有骨刺等易噎食的食物）存放于食品柜内，每日检查食品是否在保质期内，水果有无异味和腐烂，家属会客带来的熟食（熟食一顿为宜，以防变质而影响病人的健康）需妥善安排。</w:t>
            </w:r>
          </w:p>
        </w:tc>
        <w:tc>
          <w:tcPr>
            <w:tcW w:w="0" w:type="auto"/>
            <w:vAlign w:val="center"/>
          </w:tcPr>
          <w:p w14:paraId="589114A0">
            <w:pPr>
              <w:jc w:val="center"/>
              <w:rPr>
                <w:rFonts w:hint="eastAsia" w:ascii="宋体" w:hAnsi="宋体" w:cs="宋体"/>
                <w:bCs/>
                <w:color w:val="auto"/>
                <w:szCs w:val="21"/>
                <w:highlight w:val="none"/>
              </w:rPr>
            </w:pPr>
            <w:r>
              <w:rPr>
                <w:rFonts w:hint="eastAsia" w:ascii="宋体" w:hAnsi="宋体" w:cs="宋体"/>
                <w:bCs/>
                <w:color w:val="auto"/>
                <w:szCs w:val="21"/>
                <w:highlight w:val="none"/>
              </w:rPr>
              <w:t>2</w:t>
            </w:r>
          </w:p>
        </w:tc>
      </w:tr>
      <w:tr w14:paraId="5EA20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 w:hRule="atLeast"/>
          <w:jc w:val="center"/>
        </w:trPr>
        <w:tc>
          <w:tcPr>
            <w:tcW w:w="0" w:type="auto"/>
            <w:vMerge w:val="continue"/>
            <w:vAlign w:val="center"/>
          </w:tcPr>
          <w:p w14:paraId="04B020F2">
            <w:pPr>
              <w:jc w:val="center"/>
              <w:rPr>
                <w:rFonts w:hint="eastAsia" w:ascii="宋体" w:hAnsi="宋体" w:cs="宋体"/>
                <w:bCs/>
                <w:color w:val="auto"/>
                <w:szCs w:val="21"/>
                <w:highlight w:val="none"/>
              </w:rPr>
            </w:pPr>
          </w:p>
        </w:tc>
        <w:tc>
          <w:tcPr>
            <w:tcW w:w="0" w:type="auto"/>
            <w:vAlign w:val="center"/>
          </w:tcPr>
          <w:p w14:paraId="73EC86AE">
            <w:pPr>
              <w:rPr>
                <w:rFonts w:hint="eastAsia" w:ascii="宋体" w:hAnsi="宋体" w:cs="宋体"/>
                <w:bCs/>
                <w:color w:val="auto"/>
                <w:szCs w:val="21"/>
                <w:highlight w:val="none"/>
              </w:rPr>
            </w:pPr>
            <w:r>
              <w:rPr>
                <w:rFonts w:hint="eastAsia" w:ascii="宋体" w:hAnsi="宋体" w:cs="宋体"/>
                <w:bCs/>
                <w:color w:val="auto"/>
                <w:szCs w:val="21"/>
                <w:highlight w:val="none"/>
              </w:rPr>
              <w:t>5、保管员负责食品的发放，食品柜每日擦拭，保持清洁。</w:t>
            </w:r>
          </w:p>
        </w:tc>
        <w:tc>
          <w:tcPr>
            <w:tcW w:w="0" w:type="auto"/>
            <w:vAlign w:val="center"/>
          </w:tcPr>
          <w:p w14:paraId="53F7A5D7">
            <w:pPr>
              <w:jc w:val="center"/>
              <w:rPr>
                <w:rFonts w:hint="eastAsia" w:ascii="宋体" w:hAnsi="宋体" w:cs="宋体"/>
                <w:bCs/>
                <w:color w:val="auto"/>
                <w:szCs w:val="21"/>
                <w:highlight w:val="none"/>
              </w:rPr>
            </w:pPr>
            <w:r>
              <w:rPr>
                <w:rFonts w:hint="eastAsia" w:ascii="宋体" w:hAnsi="宋体" w:cs="宋体"/>
                <w:bCs/>
                <w:color w:val="auto"/>
                <w:szCs w:val="21"/>
                <w:highlight w:val="none"/>
              </w:rPr>
              <w:t>2</w:t>
            </w:r>
          </w:p>
        </w:tc>
      </w:tr>
      <w:tr w14:paraId="5F708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 w:hRule="atLeast"/>
          <w:jc w:val="center"/>
        </w:trPr>
        <w:tc>
          <w:tcPr>
            <w:tcW w:w="0" w:type="auto"/>
            <w:vMerge w:val="continue"/>
            <w:vAlign w:val="center"/>
          </w:tcPr>
          <w:p w14:paraId="08075336">
            <w:pPr>
              <w:jc w:val="center"/>
              <w:rPr>
                <w:rFonts w:hint="eastAsia" w:ascii="宋体" w:hAnsi="宋体" w:cs="宋体"/>
                <w:bCs/>
                <w:color w:val="auto"/>
                <w:szCs w:val="21"/>
                <w:highlight w:val="none"/>
              </w:rPr>
            </w:pPr>
          </w:p>
        </w:tc>
        <w:tc>
          <w:tcPr>
            <w:tcW w:w="0" w:type="auto"/>
            <w:vAlign w:val="center"/>
          </w:tcPr>
          <w:p w14:paraId="1C0FF1F2">
            <w:pPr>
              <w:rPr>
                <w:rFonts w:hint="eastAsia" w:ascii="宋体" w:hAnsi="宋体" w:cs="宋体"/>
                <w:bCs/>
                <w:color w:val="auto"/>
                <w:szCs w:val="21"/>
                <w:highlight w:val="none"/>
              </w:rPr>
            </w:pPr>
            <w:r>
              <w:rPr>
                <w:rFonts w:hint="eastAsia" w:ascii="宋体" w:hAnsi="宋体" w:cs="宋体"/>
                <w:bCs/>
                <w:color w:val="auto"/>
                <w:szCs w:val="21"/>
                <w:highlight w:val="none"/>
              </w:rPr>
              <w:t>6、根据季节存放病人衣物，必要时与家属联系，调换衣服。</w:t>
            </w:r>
          </w:p>
        </w:tc>
        <w:tc>
          <w:tcPr>
            <w:tcW w:w="0" w:type="auto"/>
            <w:vAlign w:val="center"/>
          </w:tcPr>
          <w:p w14:paraId="2AC194A7">
            <w:pPr>
              <w:jc w:val="center"/>
              <w:rPr>
                <w:rFonts w:hint="eastAsia" w:ascii="宋体" w:hAnsi="宋体" w:cs="宋体"/>
                <w:bCs/>
                <w:color w:val="auto"/>
                <w:szCs w:val="21"/>
                <w:highlight w:val="none"/>
              </w:rPr>
            </w:pPr>
            <w:r>
              <w:rPr>
                <w:rFonts w:hint="eastAsia" w:ascii="宋体" w:hAnsi="宋体" w:cs="宋体"/>
                <w:bCs/>
                <w:color w:val="auto"/>
                <w:szCs w:val="21"/>
                <w:highlight w:val="none"/>
              </w:rPr>
              <w:t>2</w:t>
            </w:r>
          </w:p>
        </w:tc>
      </w:tr>
      <w:tr w14:paraId="4E668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0" w:type="auto"/>
            <w:vMerge w:val="continue"/>
            <w:vAlign w:val="center"/>
          </w:tcPr>
          <w:p w14:paraId="7ACF15A9">
            <w:pPr>
              <w:jc w:val="center"/>
              <w:rPr>
                <w:rFonts w:hint="eastAsia" w:ascii="宋体" w:hAnsi="宋体" w:cs="宋体"/>
                <w:bCs/>
                <w:color w:val="auto"/>
                <w:szCs w:val="21"/>
                <w:highlight w:val="none"/>
              </w:rPr>
            </w:pPr>
          </w:p>
        </w:tc>
        <w:tc>
          <w:tcPr>
            <w:tcW w:w="0" w:type="auto"/>
            <w:vAlign w:val="center"/>
          </w:tcPr>
          <w:p w14:paraId="757EED8D">
            <w:pPr>
              <w:rPr>
                <w:rFonts w:hint="eastAsia" w:ascii="宋体" w:hAnsi="宋体" w:cs="宋体"/>
                <w:bCs/>
                <w:color w:val="auto"/>
                <w:szCs w:val="21"/>
                <w:highlight w:val="none"/>
              </w:rPr>
            </w:pPr>
            <w:r>
              <w:rPr>
                <w:rFonts w:hint="eastAsia" w:ascii="宋体" w:hAnsi="宋体" w:cs="宋体"/>
                <w:bCs/>
                <w:color w:val="auto"/>
                <w:szCs w:val="21"/>
                <w:highlight w:val="none"/>
              </w:rPr>
              <w:t>7、男病房香烟专柜保管，有相应记录，每日发放香烟5支。</w:t>
            </w:r>
          </w:p>
        </w:tc>
        <w:tc>
          <w:tcPr>
            <w:tcW w:w="0" w:type="auto"/>
            <w:vAlign w:val="center"/>
          </w:tcPr>
          <w:p w14:paraId="216C2F7D">
            <w:pPr>
              <w:jc w:val="center"/>
              <w:rPr>
                <w:rFonts w:hint="eastAsia" w:ascii="宋体" w:hAnsi="宋体" w:cs="宋体"/>
                <w:bCs/>
                <w:color w:val="auto"/>
                <w:szCs w:val="21"/>
                <w:highlight w:val="none"/>
              </w:rPr>
            </w:pPr>
            <w:r>
              <w:rPr>
                <w:rFonts w:hint="eastAsia" w:ascii="宋体" w:hAnsi="宋体" w:cs="宋体"/>
                <w:bCs/>
                <w:color w:val="auto"/>
                <w:szCs w:val="21"/>
                <w:highlight w:val="none"/>
              </w:rPr>
              <w:t>2</w:t>
            </w:r>
          </w:p>
        </w:tc>
      </w:tr>
      <w:tr w14:paraId="68DAC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0" w:type="auto"/>
            <w:vMerge w:val="restart"/>
            <w:vAlign w:val="center"/>
          </w:tcPr>
          <w:p w14:paraId="4F1E614A">
            <w:pPr>
              <w:jc w:val="center"/>
              <w:rPr>
                <w:rFonts w:hint="eastAsia" w:ascii="宋体" w:hAnsi="宋体" w:cs="宋体"/>
                <w:bCs/>
                <w:color w:val="auto"/>
                <w:szCs w:val="21"/>
                <w:highlight w:val="none"/>
              </w:rPr>
            </w:pPr>
            <w:r>
              <w:rPr>
                <w:rFonts w:hint="eastAsia" w:ascii="宋体" w:hAnsi="宋体" w:cs="宋体"/>
                <w:bCs/>
                <w:color w:val="auto"/>
                <w:szCs w:val="21"/>
                <w:highlight w:val="none"/>
              </w:rPr>
              <w:t>D</w:t>
            </w:r>
          </w:p>
        </w:tc>
        <w:tc>
          <w:tcPr>
            <w:tcW w:w="0" w:type="auto"/>
            <w:shd w:val="clear" w:color="auto" w:fill="C0C0C0"/>
            <w:vAlign w:val="center"/>
          </w:tcPr>
          <w:p w14:paraId="5B873404">
            <w:pPr>
              <w:jc w:val="center"/>
              <w:rPr>
                <w:rFonts w:hint="eastAsia" w:ascii="宋体" w:hAnsi="宋体" w:cs="宋体"/>
                <w:bCs/>
                <w:color w:val="auto"/>
                <w:szCs w:val="21"/>
                <w:highlight w:val="none"/>
              </w:rPr>
            </w:pPr>
            <w:r>
              <w:rPr>
                <w:rFonts w:hint="eastAsia" w:ascii="宋体" w:hAnsi="宋体" w:cs="宋体"/>
                <w:bCs/>
                <w:color w:val="auto"/>
                <w:szCs w:val="21"/>
                <w:highlight w:val="none"/>
              </w:rPr>
              <w:t>食堂餐饮服务管理</w:t>
            </w:r>
          </w:p>
        </w:tc>
        <w:tc>
          <w:tcPr>
            <w:tcW w:w="0" w:type="auto"/>
            <w:shd w:val="clear" w:color="auto" w:fill="C0C0C0"/>
            <w:vAlign w:val="center"/>
          </w:tcPr>
          <w:p w14:paraId="6CE35903">
            <w:pPr>
              <w:jc w:val="center"/>
              <w:rPr>
                <w:rFonts w:hint="eastAsia" w:ascii="宋体" w:hAnsi="宋体" w:cs="宋体"/>
                <w:bCs/>
                <w:color w:val="auto"/>
                <w:szCs w:val="21"/>
                <w:highlight w:val="none"/>
              </w:rPr>
            </w:pPr>
            <w:r>
              <w:rPr>
                <w:rFonts w:hint="eastAsia" w:ascii="宋体" w:hAnsi="宋体" w:cs="宋体"/>
                <w:bCs/>
                <w:color w:val="auto"/>
                <w:szCs w:val="21"/>
                <w:highlight w:val="none"/>
              </w:rPr>
              <w:t>20</w:t>
            </w:r>
          </w:p>
        </w:tc>
      </w:tr>
      <w:tr w14:paraId="04652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 w:hRule="atLeast"/>
          <w:jc w:val="center"/>
        </w:trPr>
        <w:tc>
          <w:tcPr>
            <w:tcW w:w="0" w:type="auto"/>
            <w:vMerge w:val="continue"/>
            <w:vAlign w:val="center"/>
          </w:tcPr>
          <w:p w14:paraId="2C0EF953">
            <w:pPr>
              <w:jc w:val="center"/>
              <w:rPr>
                <w:rFonts w:hint="eastAsia" w:ascii="宋体" w:hAnsi="宋体" w:cs="宋体"/>
                <w:bCs/>
                <w:color w:val="auto"/>
                <w:szCs w:val="21"/>
                <w:highlight w:val="none"/>
              </w:rPr>
            </w:pPr>
          </w:p>
        </w:tc>
        <w:tc>
          <w:tcPr>
            <w:tcW w:w="0" w:type="auto"/>
            <w:vAlign w:val="center"/>
          </w:tcPr>
          <w:p w14:paraId="557F9C99">
            <w:pPr>
              <w:rPr>
                <w:rFonts w:hint="eastAsia" w:ascii="宋体" w:hAnsi="宋体" w:cs="宋体"/>
                <w:bCs/>
                <w:color w:val="auto"/>
                <w:szCs w:val="21"/>
                <w:highlight w:val="none"/>
              </w:rPr>
            </w:pPr>
            <w:r>
              <w:rPr>
                <w:rFonts w:hint="eastAsia" w:ascii="宋体" w:hAnsi="宋体" w:cs="宋体"/>
                <w:bCs/>
                <w:color w:val="auto"/>
                <w:szCs w:val="21"/>
                <w:highlight w:val="none"/>
              </w:rPr>
              <w:t>1.卫生管理制度、食堂用餐时间表等制度上墙</w:t>
            </w:r>
          </w:p>
        </w:tc>
        <w:tc>
          <w:tcPr>
            <w:tcW w:w="0" w:type="auto"/>
            <w:vAlign w:val="center"/>
          </w:tcPr>
          <w:p w14:paraId="1BA7834F">
            <w:pPr>
              <w:jc w:val="center"/>
              <w:rPr>
                <w:rFonts w:hint="eastAsia" w:ascii="宋体" w:hAnsi="宋体" w:cs="宋体"/>
                <w:bCs/>
                <w:color w:val="auto"/>
                <w:szCs w:val="21"/>
                <w:highlight w:val="none"/>
              </w:rPr>
            </w:pPr>
            <w:r>
              <w:rPr>
                <w:rFonts w:hint="eastAsia" w:ascii="宋体" w:hAnsi="宋体" w:cs="宋体"/>
                <w:bCs/>
                <w:color w:val="auto"/>
                <w:szCs w:val="21"/>
                <w:highlight w:val="none"/>
              </w:rPr>
              <w:t>2</w:t>
            </w:r>
          </w:p>
        </w:tc>
      </w:tr>
      <w:tr w14:paraId="443C8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0" w:type="auto"/>
            <w:vMerge w:val="continue"/>
            <w:vAlign w:val="center"/>
          </w:tcPr>
          <w:p w14:paraId="3868997E">
            <w:pPr>
              <w:jc w:val="center"/>
              <w:rPr>
                <w:rFonts w:hint="eastAsia" w:ascii="宋体" w:hAnsi="宋体" w:cs="宋体"/>
                <w:bCs/>
                <w:color w:val="auto"/>
                <w:szCs w:val="21"/>
                <w:highlight w:val="none"/>
              </w:rPr>
            </w:pPr>
          </w:p>
        </w:tc>
        <w:tc>
          <w:tcPr>
            <w:tcW w:w="0" w:type="auto"/>
            <w:vAlign w:val="center"/>
          </w:tcPr>
          <w:p w14:paraId="1FD547B3">
            <w:pPr>
              <w:rPr>
                <w:rFonts w:hint="eastAsia" w:ascii="宋体" w:hAnsi="宋体" w:cs="宋体"/>
                <w:bCs/>
                <w:color w:val="auto"/>
                <w:szCs w:val="21"/>
                <w:highlight w:val="none"/>
              </w:rPr>
            </w:pPr>
            <w:r>
              <w:rPr>
                <w:rFonts w:hint="eastAsia" w:ascii="宋体" w:hAnsi="宋体" w:cs="宋体"/>
                <w:bCs/>
                <w:color w:val="auto"/>
                <w:szCs w:val="21"/>
                <w:highlight w:val="none"/>
              </w:rPr>
              <w:t>2.注意个人清洁卫生，定期做好健康检查，持证上岗；配发菜肴时须穿戴工作服、帽、口罩。(不定期检查）</w:t>
            </w:r>
          </w:p>
        </w:tc>
        <w:tc>
          <w:tcPr>
            <w:tcW w:w="0" w:type="auto"/>
            <w:vAlign w:val="center"/>
          </w:tcPr>
          <w:p w14:paraId="542C5819">
            <w:pPr>
              <w:jc w:val="center"/>
              <w:rPr>
                <w:rFonts w:hint="eastAsia" w:ascii="宋体" w:hAnsi="宋体" w:cs="宋体"/>
                <w:bCs/>
                <w:color w:val="auto"/>
                <w:szCs w:val="21"/>
                <w:highlight w:val="none"/>
              </w:rPr>
            </w:pPr>
            <w:r>
              <w:rPr>
                <w:rFonts w:hint="eastAsia" w:ascii="宋体" w:hAnsi="宋体" w:cs="宋体"/>
                <w:bCs/>
                <w:color w:val="auto"/>
                <w:szCs w:val="21"/>
                <w:highlight w:val="none"/>
              </w:rPr>
              <w:t>3</w:t>
            </w:r>
          </w:p>
        </w:tc>
      </w:tr>
      <w:tr w14:paraId="60132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0" w:type="auto"/>
            <w:vMerge w:val="continue"/>
            <w:vAlign w:val="center"/>
          </w:tcPr>
          <w:p w14:paraId="61402E89">
            <w:pPr>
              <w:jc w:val="center"/>
              <w:rPr>
                <w:rFonts w:hint="eastAsia" w:ascii="宋体" w:hAnsi="宋体" w:cs="宋体"/>
                <w:bCs/>
                <w:color w:val="auto"/>
                <w:szCs w:val="21"/>
                <w:highlight w:val="none"/>
              </w:rPr>
            </w:pPr>
          </w:p>
        </w:tc>
        <w:tc>
          <w:tcPr>
            <w:tcW w:w="0" w:type="auto"/>
            <w:vAlign w:val="center"/>
          </w:tcPr>
          <w:p w14:paraId="76462CF6">
            <w:pPr>
              <w:rPr>
                <w:rFonts w:hint="eastAsia" w:ascii="宋体" w:hAnsi="宋体" w:cs="宋体"/>
                <w:bCs/>
                <w:color w:val="auto"/>
                <w:szCs w:val="21"/>
                <w:highlight w:val="none"/>
              </w:rPr>
            </w:pPr>
            <w:r>
              <w:rPr>
                <w:rFonts w:hint="eastAsia" w:ascii="宋体" w:hAnsi="宋体" w:cs="宋体"/>
                <w:bCs/>
                <w:color w:val="auto"/>
                <w:szCs w:val="21"/>
                <w:highlight w:val="none"/>
              </w:rPr>
              <w:t>3.饭菜质量把关，不接受变质食品，不供应变质饭菜，每餐加工食品均有留样。</w:t>
            </w:r>
          </w:p>
        </w:tc>
        <w:tc>
          <w:tcPr>
            <w:tcW w:w="0" w:type="auto"/>
            <w:vAlign w:val="center"/>
          </w:tcPr>
          <w:p w14:paraId="7D37C87C">
            <w:pPr>
              <w:jc w:val="center"/>
              <w:rPr>
                <w:rFonts w:hint="eastAsia" w:ascii="宋体" w:hAnsi="宋体" w:cs="宋体"/>
                <w:bCs/>
                <w:color w:val="auto"/>
                <w:szCs w:val="21"/>
                <w:highlight w:val="none"/>
              </w:rPr>
            </w:pPr>
            <w:r>
              <w:rPr>
                <w:rFonts w:hint="eastAsia" w:ascii="宋体" w:hAnsi="宋体" w:cs="宋体"/>
                <w:bCs/>
                <w:color w:val="auto"/>
                <w:szCs w:val="21"/>
                <w:highlight w:val="none"/>
              </w:rPr>
              <w:t>3</w:t>
            </w:r>
          </w:p>
        </w:tc>
      </w:tr>
      <w:tr w14:paraId="4FED2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vAlign w:val="center"/>
          </w:tcPr>
          <w:p w14:paraId="5989BB61">
            <w:pPr>
              <w:jc w:val="center"/>
              <w:rPr>
                <w:rFonts w:hint="eastAsia" w:ascii="宋体" w:hAnsi="宋体" w:cs="宋体"/>
                <w:bCs/>
                <w:color w:val="auto"/>
                <w:szCs w:val="21"/>
                <w:highlight w:val="none"/>
              </w:rPr>
            </w:pPr>
          </w:p>
        </w:tc>
        <w:tc>
          <w:tcPr>
            <w:tcW w:w="0" w:type="auto"/>
            <w:vAlign w:val="center"/>
          </w:tcPr>
          <w:p w14:paraId="13E666FC">
            <w:pPr>
              <w:rPr>
                <w:rFonts w:hint="eastAsia" w:ascii="宋体" w:hAnsi="宋体" w:cs="宋体"/>
                <w:bCs/>
                <w:color w:val="auto"/>
                <w:szCs w:val="21"/>
                <w:highlight w:val="none"/>
              </w:rPr>
            </w:pPr>
            <w:r>
              <w:rPr>
                <w:rFonts w:hint="eastAsia" w:ascii="宋体" w:hAnsi="宋体" w:cs="宋体"/>
                <w:bCs/>
                <w:color w:val="auto"/>
                <w:szCs w:val="21"/>
                <w:highlight w:val="none"/>
              </w:rPr>
              <w:t>4.餐桌、墙面、地面、门窗、水池、风扇，泔水桶等无污染，无油腻，无严重破损，排水通畅。</w:t>
            </w:r>
          </w:p>
        </w:tc>
        <w:tc>
          <w:tcPr>
            <w:tcW w:w="0" w:type="auto"/>
            <w:vAlign w:val="center"/>
          </w:tcPr>
          <w:p w14:paraId="090996DC">
            <w:pPr>
              <w:jc w:val="center"/>
              <w:rPr>
                <w:rFonts w:hint="eastAsia" w:ascii="宋体" w:hAnsi="宋体" w:cs="宋体"/>
                <w:bCs/>
                <w:color w:val="auto"/>
                <w:szCs w:val="21"/>
                <w:highlight w:val="none"/>
              </w:rPr>
            </w:pPr>
            <w:r>
              <w:rPr>
                <w:rFonts w:hint="eastAsia" w:ascii="宋体" w:hAnsi="宋体" w:cs="宋体"/>
                <w:bCs/>
                <w:color w:val="auto"/>
                <w:szCs w:val="21"/>
                <w:highlight w:val="none"/>
              </w:rPr>
              <w:t>2</w:t>
            </w:r>
          </w:p>
        </w:tc>
      </w:tr>
      <w:tr w14:paraId="7802B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0" w:type="auto"/>
            <w:vMerge w:val="continue"/>
            <w:vAlign w:val="center"/>
          </w:tcPr>
          <w:p w14:paraId="5873DE90">
            <w:pPr>
              <w:jc w:val="center"/>
              <w:rPr>
                <w:rFonts w:hint="eastAsia" w:ascii="宋体" w:hAnsi="宋体" w:cs="宋体"/>
                <w:bCs/>
                <w:color w:val="auto"/>
                <w:szCs w:val="21"/>
                <w:highlight w:val="none"/>
              </w:rPr>
            </w:pPr>
          </w:p>
        </w:tc>
        <w:tc>
          <w:tcPr>
            <w:tcW w:w="0" w:type="auto"/>
            <w:vAlign w:val="center"/>
          </w:tcPr>
          <w:p w14:paraId="702E14F9">
            <w:pPr>
              <w:rPr>
                <w:rFonts w:hint="eastAsia" w:ascii="宋体" w:hAnsi="宋体" w:cs="宋体"/>
                <w:bCs/>
                <w:color w:val="auto"/>
                <w:szCs w:val="21"/>
                <w:highlight w:val="none"/>
              </w:rPr>
            </w:pPr>
            <w:r>
              <w:rPr>
                <w:rFonts w:hint="eastAsia" w:ascii="宋体" w:hAnsi="宋体" w:cs="宋体"/>
                <w:bCs/>
                <w:color w:val="auto"/>
                <w:szCs w:val="21"/>
                <w:highlight w:val="none"/>
              </w:rPr>
              <w:t>5.爱护食堂厨具和公共物品，保持厨具整洁整齐，有专人保管，不得私自出借或租用，餐具及盛放器具定期清洁、消毒，摆放整齐。</w:t>
            </w:r>
          </w:p>
        </w:tc>
        <w:tc>
          <w:tcPr>
            <w:tcW w:w="0" w:type="auto"/>
            <w:vAlign w:val="center"/>
          </w:tcPr>
          <w:p w14:paraId="32E78C6B">
            <w:pPr>
              <w:jc w:val="center"/>
              <w:rPr>
                <w:rFonts w:hint="eastAsia" w:ascii="宋体" w:hAnsi="宋体" w:cs="宋体"/>
                <w:bCs/>
                <w:color w:val="auto"/>
                <w:szCs w:val="21"/>
                <w:highlight w:val="none"/>
              </w:rPr>
            </w:pPr>
            <w:r>
              <w:rPr>
                <w:rFonts w:hint="eastAsia" w:ascii="宋体" w:hAnsi="宋体" w:cs="宋体"/>
                <w:bCs/>
                <w:color w:val="auto"/>
                <w:szCs w:val="21"/>
                <w:highlight w:val="none"/>
              </w:rPr>
              <w:t>2</w:t>
            </w:r>
          </w:p>
        </w:tc>
      </w:tr>
      <w:tr w14:paraId="6D7AC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 w:hRule="atLeast"/>
          <w:jc w:val="center"/>
        </w:trPr>
        <w:tc>
          <w:tcPr>
            <w:tcW w:w="0" w:type="auto"/>
            <w:vMerge w:val="continue"/>
            <w:vAlign w:val="center"/>
          </w:tcPr>
          <w:p w14:paraId="1B416A77">
            <w:pPr>
              <w:jc w:val="center"/>
              <w:rPr>
                <w:rFonts w:hint="eastAsia" w:ascii="宋体" w:hAnsi="宋体" w:cs="宋体"/>
                <w:bCs/>
                <w:color w:val="auto"/>
                <w:szCs w:val="21"/>
                <w:highlight w:val="none"/>
              </w:rPr>
            </w:pPr>
          </w:p>
        </w:tc>
        <w:tc>
          <w:tcPr>
            <w:tcW w:w="0" w:type="auto"/>
            <w:vAlign w:val="center"/>
          </w:tcPr>
          <w:p w14:paraId="379E1E7D">
            <w:pPr>
              <w:rPr>
                <w:rFonts w:hint="eastAsia" w:ascii="宋体" w:hAnsi="宋体" w:cs="宋体"/>
                <w:bCs/>
                <w:color w:val="auto"/>
                <w:szCs w:val="21"/>
                <w:highlight w:val="none"/>
              </w:rPr>
            </w:pPr>
            <w:r>
              <w:rPr>
                <w:rFonts w:hint="eastAsia" w:ascii="宋体" w:hAnsi="宋体" w:cs="宋体"/>
                <w:bCs/>
                <w:color w:val="auto"/>
                <w:szCs w:val="21"/>
                <w:highlight w:val="none"/>
              </w:rPr>
              <w:t>6.调味品严把质量关，保证在保质期内，无变质过期。</w:t>
            </w:r>
          </w:p>
        </w:tc>
        <w:tc>
          <w:tcPr>
            <w:tcW w:w="0" w:type="auto"/>
            <w:vAlign w:val="center"/>
          </w:tcPr>
          <w:p w14:paraId="48047149">
            <w:pPr>
              <w:jc w:val="center"/>
              <w:rPr>
                <w:rFonts w:hint="eastAsia" w:ascii="宋体" w:hAnsi="宋体" w:cs="宋体"/>
                <w:bCs/>
                <w:color w:val="auto"/>
                <w:szCs w:val="21"/>
                <w:highlight w:val="none"/>
              </w:rPr>
            </w:pPr>
            <w:r>
              <w:rPr>
                <w:rFonts w:hint="eastAsia" w:ascii="宋体" w:hAnsi="宋体" w:cs="宋体"/>
                <w:bCs/>
                <w:color w:val="auto"/>
                <w:szCs w:val="21"/>
                <w:highlight w:val="none"/>
              </w:rPr>
              <w:t>2</w:t>
            </w:r>
          </w:p>
        </w:tc>
      </w:tr>
      <w:tr w14:paraId="3C644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jc w:val="center"/>
        </w:trPr>
        <w:tc>
          <w:tcPr>
            <w:tcW w:w="0" w:type="auto"/>
            <w:vMerge w:val="continue"/>
            <w:vAlign w:val="center"/>
          </w:tcPr>
          <w:p w14:paraId="1A828EAB">
            <w:pPr>
              <w:jc w:val="center"/>
              <w:rPr>
                <w:rFonts w:hint="eastAsia" w:ascii="宋体" w:hAnsi="宋体" w:cs="宋体"/>
                <w:bCs/>
                <w:color w:val="auto"/>
                <w:szCs w:val="21"/>
                <w:highlight w:val="none"/>
              </w:rPr>
            </w:pPr>
          </w:p>
        </w:tc>
        <w:tc>
          <w:tcPr>
            <w:tcW w:w="0" w:type="auto"/>
            <w:vAlign w:val="center"/>
          </w:tcPr>
          <w:p w14:paraId="1DA7F8E2">
            <w:pPr>
              <w:rPr>
                <w:rFonts w:hint="eastAsia" w:ascii="宋体" w:hAnsi="宋体" w:cs="宋体"/>
                <w:bCs/>
                <w:color w:val="auto"/>
                <w:szCs w:val="21"/>
                <w:highlight w:val="none"/>
              </w:rPr>
            </w:pPr>
            <w:r>
              <w:rPr>
                <w:rFonts w:hint="eastAsia" w:ascii="宋体" w:hAnsi="宋体" w:cs="宋体"/>
                <w:bCs/>
                <w:color w:val="auto"/>
                <w:szCs w:val="21"/>
                <w:highlight w:val="none"/>
              </w:rPr>
              <w:t>7.食堂菜品及工作人员服务态度进行每月满意度调查。</w:t>
            </w:r>
          </w:p>
        </w:tc>
        <w:tc>
          <w:tcPr>
            <w:tcW w:w="0" w:type="auto"/>
            <w:vAlign w:val="center"/>
          </w:tcPr>
          <w:p w14:paraId="5003C9DF">
            <w:pPr>
              <w:jc w:val="center"/>
              <w:rPr>
                <w:rFonts w:hint="eastAsia" w:ascii="宋体" w:hAnsi="宋体" w:cs="宋体"/>
                <w:bCs/>
                <w:color w:val="auto"/>
                <w:szCs w:val="21"/>
                <w:highlight w:val="none"/>
              </w:rPr>
            </w:pPr>
            <w:r>
              <w:rPr>
                <w:rFonts w:hint="eastAsia" w:ascii="宋体" w:hAnsi="宋体" w:cs="宋体"/>
                <w:bCs/>
                <w:color w:val="auto"/>
                <w:szCs w:val="21"/>
                <w:highlight w:val="none"/>
              </w:rPr>
              <w:t>2</w:t>
            </w:r>
          </w:p>
        </w:tc>
      </w:tr>
      <w:tr w14:paraId="5C0E2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0" w:type="auto"/>
            <w:vMerge w:val="continue"/>
            <w:vAlign w:val="center"/>
          </w:tcPr>
          <w:p w14:paraId="6EDF3CF3">
            <w:pPr>
              <w:jc w:val="center"/>
              <w:rPr>
                <w:rFonts w:hint="eastAsia" w:ascii="宋体" w:hAnsi="宋体" w:cs="宋体"/>
                <w:bCs/>
                <w:color w:val="auto"/>
                <w:szCs w:val="21"/>
                <w:highlight w:val="none"/>
              </w:rPr>
            </w:pPr>
          </w:p>
        </w:tc>
        <w:tc>
          <w:tcPr>
            <w:tcW w:w="0" w:type="auto"/>
            <w:vAlign w:val="center"/>
          </w:tcPr>
          <w:p w14:paraId="053232E3">
            <w:pPr>
              <w:rPr>
                <w:rFonts w:hint="eastAsia" w:ascii="宋体" w:hAnsi="宋体" w:cs="宋体"/>
                <w:bCs/>
                <w:color w:val="auto"/>
                <w:szCs w:val="21"/>
                <w:highlight w:val="none"/>
              </w:rPr>
            </w:pPr>
            <w:r>
              <w:rPr>
                <w:rFonts w:hint="eastAsia" w:ascii="宋体" w:hAnsi="宋体" w:cs="宋体"/>
                <w:bCs/>
                <w:color w:val="auto"/>
                <w:szCs w:val="21"/>
                <w:highlight w:val="none"/>
              </w:rPr>
              <w:t>8.保证饮食卫生，搞好食堂卫生，节约用电用水，认真落实食品安全事故零目标</w:t>
            </w:r>
          </w:p>
        </w:tc>
        <w:tc>
          <w:tcPr>
            <w:tcW w:w="0" w:type="auto"/>
            <w:vAlign w:val="center"/>
          </w:tcPr>
          <w:p w14:paraId="71D6E4A3">
            <w:pPr>
              <w:jc w:val="center"/>
              <w:rPr>
                <w:rFonts w:hint="eastAsia" w:ascii="宋体" w:hAnsi="宋体" w:cs="宋体"/>
                <w:bCs/>
                <w:color w:val="auto"/>
                <w:szCs w:val="21"/>
                <w:highlight w:val="none"/>
              </w:rPr>
            </w:pPr>
            <w:r>
              <w:rPr>
                <w:rFonts w:hint="eastAsia" w:ascii="宋体" w:hAnsi="宋体" w:cs="宋体"/>
                <w:bCs/>
                <w:color w:val="auto"/>
                <w:szCs w:val="21"/>
                <w:highlight w:val="none"/>
              </w:rPr>
              <w:t>2</w:t>
            </w:r>
          </w:p>
        </w:tc>
      </w:tr>
      <w:tr w14:paraId="07002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 w:hRule="atLeast"/>
          <w:jc w:val="center"/>
        </w:trPr>
        <w:tc>
          <w:tcPr>
            <w:tcW w:w="0" w:type="auto"/>
            <w:vMerge w:val="continue"/>
            <w:vAlign w:val="center"/>
          </w:tcPr>
          <w:p w14:paraId="2610C450">
            <w:pPr>
              <w:jc w:val="center"/>
              <w:rPr>
                <w:rFonts w:hint="eastAsia" w:ascii="宋体" w:hAnsi="宋体" w:cs="宋体"/>
                <w:bCs/>
                <w:color w:val="auto"/>
                <w:szCs w:val="21"/>
                <w:highlight w:val="none"/>
              </w:rPr>
            </w:pPr>
          </w:p>
        </w:tc>
        <w:tc>
          <w:tcPr>
            <w:tcW w:w="0" w:type="auto"/>
            <w:vAlign w:val="center"/>
          </w:tcPr>
          <w:p w14:paraId="6C47F459">
            <w:pPr>
              <w:rPr>
                <w:rFonts w:hint="eastAsia" w:ascii="宋体" w:hAnsi="宋体" w:cs="宋体"/>
                <w:bCs/>
                <w:color w:val="auto"/>
                <w:szCs w:val="21"/>
                <w:highlight w:val="none"/>
              </w:rPr>
            </w:pPr>
            <w:r>
              <w:rPr>
                <w:rFonts w:hint="eastAsia" w:ascii="宋体" w:hAnsi="宋体" w:cs="宋体"/>
                <w:bCs/>
                <w:color w:val="auto"/>
                <w:szCs w:val="21"/>
                <w:highlight w:val="none"/>
              </w:rPr>
              <w:t>9.医院蔬菜种植园由专人负责耕种。</w:t>
            </w:r>
          </w:p>
        </w:tc>
        <w:tc>
          <w:tcPr>
            <w:tcW w:w="0" w:type="auto"/>
            <w:vAlign w:val="center"/>
          </w:tcPr>
          <w:p w14:paraId="1F75D885">
            <w:pPr>
              <w:jc w:val="center"/>
              <w:rPr>
                <w:rFonts w:hint="eastAsia" w:ascii="宋体" w:hAnsi="宋体" w:cs="宋体"/>
                <w:bCs/>
                <w:color w:val="auto"/>
                <w:szCs w:val="21"/>
                <w:highlight w:val="none"/>
              </w:rPr>
            </w:pPr>
            <w:r>
              <w:rPr>
                <w:rFonts w:hint="eastAsia" w:ascii="宋体" w:hAnsi="宋体" w:cs="宋体"/>
                <w:bCs/>
                <w:color w:val="auto"/>
                <w:szCs w:val="21"/>
                <w:highlight w:val="none"/>
              </w:rPr>
              <w:t>2</w:t>
            </w:r>
          </w:p>
        </w:tc>
      </w:tr>
      <w:tr w14:paraId="54F5B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0" w:type="auto"/>
            <w:vMerge w:val="restart"/>
            <w:vAlign w:val="center"/>
          </w:tcPr>
          <w:p w14:paraId="2BC77CF4">
            <w:pPr>
              <w:jc w:val="center"/>
              <w:rPr>
                <w:rFonts w:hint="eastAsia" w:ascii="宋体" w:hAnsi="宋体" w:cs="宋体"/>
                <w:bCs/>
                <w:color w:val="auto"/>
                <w:szCs w:val="21"/>
                <w:highlight w:val="none"/>
              </w:rPr>
            </w:pPr>
            <w:r>
              <w:rPr>
                <w:rFonts w:hint="eastAsia" w:ascii="宋体" w:hAnsi="宋体" w:cs="宋体"/>
                <w:bCs/>
                <w:color w:val="auto"/>
                <w:szCs w:val="21"/>
                <w:highlight w:val="none"/>
              </w:rPr>
              <w:t>E</w:t>
            </w:r>
          </w:p>
        </w:tc>
        <w:tc>
          <w:tcPr>
            <w:tcW w:w="0" w:type="auto"/>
            <w:shd w:val="clear" w:color="auto" w:fill="BEBEBE"/>
            <w:vAlign w:val="center"/>
          </w:tcPr>
          <w:p w14:paraId="1F11561D">
            <w:pPr>
              <w:jc w:val="center"/>
              <w:rPr>
                <w:rFonts w:hint="eastAsia" w:ascii="宋体" w:hAnsi="宋体" w:cs="宋体"/>
                <w:bCs/>
                <w:color w:val="auto"/>
                <w:szCs w:val="21"/>
                <w:highlight w:val="none"/>
              </w:rPr>
            </w:pPr>
            <w:r>
              <w:rPr>
                <w:rFonts w:hint="eastAsia" w:ascii="宋体" w:hAnsi="宋体" w:cs="宋体"/>
                <w:bCs/>
                <w:color w:val="auto"/>
                <w:szCs w:val="21"/>
                <w:highlight w:val="none"/>
              </w:rPr>
              <w:t>院感考核内容</w:t>
            </w:r>
          </w:p>
        </w:tc>
        <w:tc>
          <w:tcPr>
            <w:tcW w:w="0" w:type="auto"/>
            <w:shd w:val="clear" w:color="auto" w:fill="BEBEBE"/>
            <w:vAlign w:val="center"/>
          </w:tcPr>
          <w:p w14:paraId="77215639">
            <w:pPr>
              <w:jc w:val="center"/>
              <w:rPr>
                <w:rFonts w:hint="eastAsia" w:ascii="宋体" w:hAnsi="宋体" w:cs="宋体"/>
                <w:bCs/>
                <w:color w:val="auto"/>
                <w:szCs w:val="21"/>
                <w:highlight w:val="none"/>
              </w:rPr>
            </w:pPr>
            <w:r>
              <w:rPr>
                <w:rFonts w:hint="eastAsia" w:ascii="宋体" w:hAnsi="宋体" w:cs="宋体"/>
                <w:bCs/>
                <w:color w:val="auto"/>
                <w:szCs w:val="21"/>
                <w:highlight w:val="none"/>
              </w:rPr>
              <w:t>20</w:t>
            </w:r>
          </w:p>
        </w:tc>
      </w:tr>
      <w:tr w14:paraId="46FA9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jc w:val="center"/>
        </w:trPr>
        <w:tc>
          <w:tcPr>
            <w:tcW w:w="0" w:type="auto"/>
            <w:vMerge w:val="continue"/>
            <w:vAlign w:val="center"/>
          </w:tcPr>
          <w:p w14:paraId="70AE4C7B">
            <w:pPr>
              <w:jc w:val="center"/>
              <w:rPr>
                <w:rFonts w:hint="eastAsia" w:ascii="宋体" w:hAnsi="宋体" w:cs="宋体"/>
                <w:bCs/>
                <w:color w:val="auto"/>
                <w:szCs w:val="21"/>
                <w:highlight w:val="none"/>
              </w:rPr>
            </w:pPr>
          </w:p>
        </w:tc>
        <w:tc>
          <w:tcPr>
            <w:tcW w:w="0" w:type="auto"/>
            <w:vAlign w:val="center"/>
          </w:tcPr>
          <w:p w14:paraId="69B8F694">
            <w:pPr>
              <w:rPr>
                <w:rFonts w:hint="eastAsia" w:ascii="宋体" w:hAnsi="宋体" w:cs="宋体"/>
                <w:bCs/>
                <w:color w:val="auto"/>
                <w:szCs w:val="21"/>
                <w:highlight w:val="none"/>
              </w:rPr>
            </w:pPr>
            <w:r>
              <w:rPr>
                <w:rFonts w:hint="eastAsia" w:ascii="宋体" w:hAnsi="宋体" w:cs="宋体"/>
                <w:bCs/>
                <w:color w:val="auto"/>
                <w:szCs w:val="21"/>
                <w:highlight w:val="none"/>
              </w:rPr>
              <w:t>（一）感控基本要求</w:t>
            </w:r>
          </w:p>
        </w:tc>
        <w:tc>
          <w:tcPr>
            <w:tcW w:w="0" w:type="auto"/>
            <w:vMerge w:val="restart"/>
            <w:vAlign w:val="center"/>
          </w:tcPr>
          <w:p w14:paraId="77D87B2E">
            <w:pPr>
              <w:jc w:val="center"/>
              <w:rPr>
                <w:rFonts w:hint="eastAsia" w:ascii="宋体" w:hAnsi="宋体" w:cs="宋体"/>
                <w:bCs/>
                <w:color w:val="auto"/>
                <w:szCs w:val="21"/>
                <w:highlight w:val="none"/>
              </w:rPr>
            </w:pPr>
            <w:r>
              <w:rPr>
                <w:rFonts w:hint="eastAsia" w:ascii="宋体" w:hAnsi="宋体" w:cs="宋体"/>
                <w:bCs/>
                <w:color w:val="auto"/>
                <w:szCs w:val="21"/>
                <w:highlight w:val="none"/>
              </w:rPr>
              <w:t>3</w:t>
            </w:r>
          </w:p>
        </w:tc>
      </w:tr>
      <w:tr w14:paraId="1F4DB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 w:hRule="atLeast"/>
          <w:jc w:val="center"/>
        </w:trPr>
        <w:tc>
          <w:tcPr>
            <w:tcW w:w="0" w:type="auto"/>
            <w:vMerge w:val="continue"/>
            <w:vAlign w:val="center"/>
          </w:tcPr>
          <w:p w14:paraId="169BE33D">
            <w:pPr>
              <w:jc w:val="center"/>
              <w:rPr>
                <w:rFonts w:hint="eastAsia" w:ascii="宋体" w:hAnsi="宋体" w:cs="宋体"/>
                <w:bCs/>
                <w:color w:val="auto"/>
                <w:szCs w:val="21"/>
                <w:highlight w:val="none"/>
              </w:rPr>
            </w:pPr>
          </w:p>
        </w:tc>
        <w:tc>
          <w:tcPr>
            <w:tcW w:w="0" w:type="auto"/>
          </w:tcPr>
          <w:p w14:paraId="756949C3">
            <w:pPr>
              <w:rPr>
                <w:rFonts w:hint="eastAsia" w:ascii="宋体" w:hAnsi="宋体" w:cs="宋体"/>
                <w:bCs/>
                <w:color w:val="auto"/>
                <w:szCs w:val="21"/>
                <w:highlight w:val="none"/>
              </w:rPr>
            </w:pPr>
            <w:r>
              <w:rPr>
                <w:rFonts w:hint="eastAsia" w:ascii="宋体" w:hAnsi="宋体" w:cs="宋体"/>
                <w:bCs/>
                <w:color w:val="auto"/>
                <w:szCs w:val="21"/>
                <w:highlight w:val="none"/>
              </w:rPr>
              <w:t>1.进入医院工作的工人必须体检，身体健康无传染病方可上岗；运送医疗废物人员、食堂工作人员需每年体检</w:t>
            </w:r>
          </w:p>
        </w:tc>
        <w:tc>
          <w:tcPr>
            <w:tcW w:w="0" w:type="auto"/>
            <w:vMerge w:val="continue"/>
            <w:vAlign w:val="center"/>
          </w:tcPr>
          <w:p w14:paraId="633FBD4B">
            <w:pPr>
              <w:jc w:val="center"/>
              <w:rPr>
                <w:rFonts w:hint="eastAsia" w:ascii="宋体" w:hAnsi="宋体" w:cs="宋体"/>
                <w:bCs/>
                <w:color w:val="auto"/>
                <w:szCs w:val="21"/>
                <w:highlight w:val="none"/>
              </w:rPr>
            </w:pPr>
          </w:p>
        </w:tc>
      </w:tr>
      <w:tr w14:paraId="380B3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jc w:val="center"/>
        </w:trPr>
        <w:tc>
          <w:tcPr>
            <w:tcW w:w="0" w:type="auto"/>
            <w:vMerge w:val="continue"/>
            <w:vAlign w:val="center"/>
          </w:tcPr>
          <w:p w14:paraId="04A69F7B">
            <w:pPr>
              <w:jc w:val="center"/>
              <w:rPr>
                <w:rFonts w:hint="eastAsia" w:ascii="宋体" w:hAnsi="宋体" w:cs="宋体"/>
                <w:bCs/>
                <w:color w:val="auto"/>
                <w:szCs w:val="21"/>
                <w:highlight w:val="none"/>
              </w:rPr>
            </w:pPr>
          </w:p>
        </w:tc>
        <w:tc>
          <w:tcPr>
            <w:tcW w:w="0" w:type="auto"/>
          </w:tcPr>
          <w:p w14:paraId="0740D1AF">
            <w:pPr>
              <w:rPr>
                <w:rFonts w:hint="eastAsia" w:ascii="宋体" w:hAnsi="宋体" w:cs="宋体"/>
                <w:bCs/>
                <w:color w:val="auto"/>
                <w:szCs w:val="21"/>
                <w:highlight w:val="none"/>
              </w:rPr>
            </w:pPr>
            <w:r>
              <w:rPr>
                <w:rFonts w:hint="eastAsia" w:ascii="宋体" w:hAnsi="宋体" w:cs="宋体"/>
                <w:bCs/>
                <w:color w:val="auto"/>
                <w:szCs w:val="21"/>
                <w:highlight w:val="none"/>
              </w:rPr>
              <w:t>2.对新入职工人进行基本的院感知识培训，并有记录</w:t>
            </w:r>
          </w:p>
        </w:tc>
        <w:tc>
          <w:tcPr>
            <w:tcW w:w="0" w:type="auto"/>
            <w:vMerge w:val="continue"/>
            <w:vAlign w:val="center"/>
          </w:tcPr>
          <w:p w14:paraId="5CB8C931">
            <w:pPr>
              <w:jc w:val="center"/>
              <w:rPr>
                <w:rFonts w:hint="eastAsia" w:ascii="宋体" w:hAnsi="宋体" w:cs="宋体"/>
                <w:bCs/>
                <w:color w:val="auto"/>
                <w:szCs w:val="21"/>
                <w:highlight w:val="none"/>
              </w:rPr>
            </w:pPr>
          </w:p>
        </w:tc>
      </w:tr>
      <w:tr w14:paraId="54949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jc w:val="center"/>
        </w:trPr>
        <w:tc>
          <w:tcPr>
            <w:tcW w:w="0" w:type="auto"/>
            <w:vMerge w:val="continue"/>
            <w:vAlign w:val="center"/>
          </w:tcPr>
          <w:p w14:paraId="20C348AF">
            <w:pPr>
              <w:jc w:val="center"/>
              <w:rPr>
                <w:rFonts w:hint="eastAsia" w:ascii="宋体" w:hAnsi="宋体" w:cs="宋体"/>
                <w:bCs/>
                <w:color w:val="auto"/>
                <w:szCs w:val="21"/>
                <w:highlight w:val="none"/>
              </w:rPr>
            </w:pPr>
          </w:p>
        </w:tc>
        <w:tc>
          <w:tcPr>
            <w:tcW w:w="0" w:type="auto"/>
          </w:tcPr>
          <w:p w14:paraId="7EC8283A">
            <w:pPr>
              <w:rPr>
                <w:rFonts w:hint="eastAsia" w:ascii="宋体" w:hAnsi="宋体" w:cs="宋体"/>
                <w:bCs/>
                <w:color w:val="auto"/>
                <w:szCs w:val="21"/>
                <w:highlight w:val="none"/>
              </w:rPr>
            </w:pPr>
            <w:r>
              <w:rPr>
                <w:rFonts w:hint="eastAsia" w:ascii="宋体" w:hAnsi="宋体" w:cs="宋体"/>
                <w:bCs/>
                <w:color w:val="auto"/>
                <w:szCs w:val="21"/>
                <w:highlight w:val="none"/>
              </w:rPr>
              <w:t>3.每月定期对员工进行感控知识培训</w:t>
            </w:r>
          </w:p>
        </w:tc>
        <w:tc>
          <w:tcPr>
            <w:tcW w:w="0" w:type="auto"/>
            <w:vMerge w:val="continue"/>
            <w:vAlign w:val="center"/>
          </w:tcPr>
          <w:p w14:paraId="5FBC4449">
            <w:pPr>
              <w:jc w:val="center"/>
              <w:rPr>
                <w:rFonts w:hint="eastAsia" w:ascii="宋体" w:hAnsi="宋体" w:cs="宋体"/>
                <w:bCs/>
                <w:color w:val="auto"/>
                <w:szCs w:val="21"/>
                <w:highlight w:val="none"/>
              </w:rPr>
            </w:pPr>
          </w:p>
        </w:tc>
      </w:tr>
      <w:tr w14:paraId="0C3A7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jc w:val="center"/>
        </w:trPr>
        <w:tc>
          <w:tcPr>
            <w:tcW w:w="0" w:type="auto"/>
            <w:vMerge w:val="continue"/>
            <w:vAlign w:val="center"/>
          </w:tcPr>
          <w:p w14:paraId="6294C080">
            <w:pPr>
              <w:jc w:val="center"/>
              <w:rPr>
                <w:rFonts w:hint="eastAsia" w:ascii="宋体" w:hAnsi="宋体" w:cs="宋体"/>
                <w:bCs/>
                <w:color w:val="auto"/>
                <w:szCs w:val="21"/>
                <w:highlight w:val="none"/>
              </w:rPr>
            </w:pPr>
          </w:p>
        </w:tc>
        <w:tc>
          <w:tcPr>
            <w:tcW w:w="0" w:type="auto"/>
          </w:tcPr>
          <w:p w14:paraId="7FA9EB8D">
            <w:pPr>
              <w:rPr>
                <w:rFonts w:hint="eastAsia" w:ascii="宋体" w:hAnsi="宋体" w:cs="宋体"/>
                <w:bCs/>
                <w:color w:val="auto"/>
                <w:szCs w:val="21"/>
                <w:highlight w:val="none"/>
              </w:rPr>
            </w:pPr>
            <w:r>
              <w:rPr>
                <w:rFonts w:hint="eastAsia" w:ascii="宋体" w:hAnsi="宋体" w:cs="宋体"/>
                <w:bCs/>
                <w:color w:val="auto"/>
                <w:szCs w:val="21"/>
                <w:highlight w:val="none"/>
              </w:rPr>
              <w:t>4.禁止穿工作服进入食堂就餐</w:t>
            </w:r>
          </w:p>
        </w:tc>
        <w:tc>
          <w:tcPr>
            <w:tcW w:w="0" w:type="auto"/>
            <w:vMerge w:val="continue"/>
            <w:vAlign w:val="center"/>
          </w:tcPr>
          <w:p w14:paraId="34BE867F">
            <w:pPr>
              <w:jc w:val="center"/>
              <w:rPr>
                <w:rFonts w:hint="eastAsia" w:ascii="宋体" w:hAnsi="宋体" w:cs="宋体"/>
                <w:bCs/>
                <w:color w:val="auto"/>
                <w:szCs w:val="21"/>
                <w:highlight w:val="none"/>
              </w:rPr>
            </w:pPr>
          </w:p>
        </w:tc>
      </w:tr>
      <w:tr w14:paraId="777A1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jc w:val="center"/>
        </w:trPr>
        <w:tc>
          <w:tcPr>
            <w:tcW w:w="0" w:type="auto"/>
            <w:vMerge w:val="continue"/>
            <w:vAlign w:val="center"/>
          </w:tcPr>
          <w:p w14:paraId="3AD25C9A">
            <w:pPr>
              <w:jc w:val="center"/>
              <w:rPr>
                <w:rFonts w:hint="eastAsia" w:ascii="宋体" w:hAnsi="宋体" w:cs="宋体"/>
                <w:bCs/>
                <w:color w:val="auto"/>
                <w:szCs w:val="21"/>
                <w:highlight w:val="none"/>
              </w:rPr>
            </w:pPr>
          </w:p>
        </w:tc>
        <w:tc>
          <w:tcPr>
            <w:tcW w:w="0" w:type="auto"/>
          </w:tcPr>
          <w:p w14:paraId="33374627">
            <w:pPr>
              <w:rPr>
                <w:rFonts w:hint="eastAsia" w:ascii="宋体" w:hAnsi="宋体" w:cs="宋体"/>
                <w:bCs/>
                <w:color w:val="auto"/>
                <w:szCs w:val="21"/>
                <w:highlight w:val="none"/>
              </w:rPr>
            </w:pPr>
            <w:r>
              <w:rPr>
                <w:rFonts w:hint="eastAsia" w:ascii="宋体" w:hAnsi="宋体" w:cs="宋体"/>
                <w:bCs/>
                <w:color w:val="auto"/>
                <w:szCs w:val="21"/>
                <w:highlight w:val="none"/>
              </w:rPr>
              <w:t>5.禁止在工作区域饮食、吸烟、储存食品等</w:t>
            </w:r>
          </w:p>
        </w:tc>
        <w:tc>
          <w:tcPr>
            <w:tcW w:w="0" w:type="auto"/>
            <w:vMerge w:val="continue"/>
            <w:vAlign w:val="center"/>
          </w:tcPr>
          <w:p w14:paraId="6A8B2793">
            <w:pPr>
              <w:jc w:val="center"/>
              <w:rPr>
                <w:rFonts w:hint="eastAsia" w:ascii="宋体" w:hAnsi="宋体" w:cs="宋体"/>
                <w:bCs/>
                <w:color w:val="auto"/>
                <w:szCs w:val="21"/>
                <w:highlight w:val="none"/>
              </w:rPr>
            </w:pPr>
          </w:p>
        </w:tc>
      </w:tr>
      <w:tr w14:paraId="5BEB4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 w:hRule="atLeast"/>
          <w:jc w:val="center"/>
        </w:trPr>
        <w:tc>
          <w:tcPr>
            <w:tcW w:w="0" w:type="auto"/>
            <w:vMerge w:val="continue"/>
            <w:vAlign w:val="center"/>
          </w:tcPr>
          <w:p w14:paraId="20F7EF67">
            <w:pPr>
              <w:jc w:val="center"/>
              <w:rPr>
                <w:rFonts w:hint="eastAsia" w:ascii="宋体" w:hAnsi="宋体" w:cs="宋体"/>
                <w:bCs/>
                <w:color w:val="auto"/>
                <w:szCs w:val="21"/>
                <w:highlight w:val="none"/>
              </w:rPr>
            </w:pPr>
          </w:p>
        </w:tc>
        <w:tc>
          <w:tcPr>
            <w:tcW w:w="0" w:type="auto"/>
            <w:vAlign w:val="center"/>
          </w:tcPr>
          <w:p w14:paraId="62A81044">
            <w:pPr>
              <w:rPr>
                <w:rFonts w:hint="eastAsia" w:ascii="宋体" w:hAnsi="宋体" w:cs="宋体"/>
                <w:bCs/>
                <w:color w:val="auto"/>
                <w:szCs w:val="21"/>
                <w:highlight w:val="none"/>
              </w:rPr>
            </w:pPr>
            <w:r>
              <w:rPr>
                <w:rFonts w:hint="eastAsia" w:ascii="宋体" w:hAnsi="宋体" w:cs="宋体"/>
                <w:bCs/>
                <w:color w:val="auto"/>
                <w:szCs w:val="21"/>
                <w:highlight w:val="none"/>
              </w:rPr>
              <w:t>（二）个人防护</w:t>
            </w:r>
          </w:p>
        </w:tc>
        <w:tc>
          <w:tcPr>
            <w:tcW w:w="0" w:type="auto"/>
            <w:vMerge w:val="restart"/>
            <w:vAlign w:val="center"/>
          </w:tcPr>
          <w:p w14:paraId="6484F657">
            <w:pPr>
              <w:jc w:val="center"/>
              <w:rPr>
                <w:rFonts w:hint="eastAsia" w:ascii="宋体" w:hAnsi="宋体" w:cs="宋体"/>
                <w:bCs/>
                <w:color w:val="auto"/>
                <w:szCs w:val="21"/>
                <w:highlight w:val="none"/>
              </w:rPr>
            </w:pPr>
            <w:r>
              <w:rPr>
                <w:rFonts w:hint="eastAsia" w:ascii="宋体" w:hAnsi="宋体" w:cs="宋体"/>
                <w:bCs/>
                <w:color w:val="auto"/>
                <w:szCs w:val="21"/>
                <w:highlight w:val="none"/>
              </w:rPr>
              <w:t>3</w:t>
            </w:r>
          </w:p>
        </w:tc>
      </w:tr>
      <w:tr w14:paraId="3E883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0" w:type="auto"/>
            <w:vMerge w:val="continue"/>
            <w:vAlign w:val="center"/>
          </w:tcPr>
          <w:p w14:paraId="6C3D3872">
            <w:pPr>
              <w:jc w:val="center"/>
              <w:rPr>
                <w:rFonts w:hint="eastAsia" w:ascii="宋体" w:hAnsi="宋体" w:cs="宋体"/>
                <w:bCs/>
                <w:color w:val="auto"/>
                <w:szCs w:val="21"/>
                <w:highlight w:val="none"/>
              </w:rPr>
            </w:pPr>
          </w:p>
        </w:tc>
        <w:tc>
          <w:tcPr>
            <w:tcW w:w="0" w:type="auto"/>
          </w:tcPr>
          <w:p w14:paraId="03AB538C">
            <w:pPr>
              <w:rPr>
                <w:rFonts w:hint="eastAsia" w:ascii="宋体" w:hAnsi="宋体" w:cs="宋体"/>
                <w:bCs/>
                <w:color w:val="auto"/>
                <w:szCs w:val="21"/>
                <w:highlight w:val="none"/>
              </w:rPr>
            </w:pPr>
            <w:r>
              <w:rPr>
                <w:rFonts w:hint="eastAsia" w:ascii="宋体" w:hAnsi="宋体" w:cs="宋体"/>
                <w:bCs/>
                <w:color w:val="auto"/>
                <w:szCs w:val="21"/>
                <w:highlight w:val="none"/>
              </w:rPr>
              <w:t>1.工人做好个人防护：工作过程中穿工作服，根据实际工作情况需要佩戴口罩、手套等防护用品</w:t>
            </w:r>
          </w:p>
        </w:tc>
        <w:tc>
          <w:tcPr>
            <w:tcW w:w="0" w:type="auto"/>
            <w:vMerge w:val="continue"/>
            <w:vAlign w:val="center"/>
          </w:tcPr>
          <w:p w14:paraId="5EB0C526">
            <w:pPr>
              <w:jc w:val="center"/>
              <w:rPr>
                <w:rFonts w:hint="eastAsia" w:ascii="宋体" w:hAnsi="宋体" w:cs="宋体"/>
                <w:bCs/>
                <w:color w:val="auto"/>
                <w:szCs w:val="21"/>
                <w:highlight w:val="none"/>
              </w:rPr>
            </w:pPr>
          </w:p>
        </w:tc>
      </w:tr>
      <w:tr w14:paraId="23E82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 w:hRule="atLeast"/>
          <w:jc w:val="center"/>
        </w:trPr>
        <w:tc>
          <w:tcPr>
            <w:tcW w:w="0" w:type="auto"/>
            <w:vMerge w:val="continue"/>
            <w:vAlign w:val="center"/>
          </w:tcPr>
          <w:p w14:paraId="09ED3305">
            <w:pPr>
              <w:jc w:val="center"/>
              <w:rPr>
                <w:rFonts w:hint="eastAsia" w:ascii="宋体" w:hAnsi="宋体" w:cs="宋体"/>
                <w:bCs/>
                <w:color w:val="auto"/>
                <w:szCs w:val="21"/>
                <w:highlight w:val="none"/>
              </w:rPr>
            </w:pPr>
          </w:p>
        </w:tc>
        <w:tc>
          <w:tcPr>
            <w:tcW w:w="0" w:type="auto"/>
          </w:tcPr>
          <w:p w14:paraId="6BCAEA7B">
            <w:pPr>
              <w:rPr>
                <w:rFonts w:hint="eastAsia" w:ascii="宋体" w:hAnsi="宋体" w:cs="宋体"/>
                <w:bCs/>
                <w:color w:val="auto"/>
                <w:szCs w:val="21"/>
                <w:highlight w:val="none"/>
              </w:rPr>
            </w:pPr>
            <w:r>
              <w:rPr>
                <w:rFonts w:hint="eastAsia" w:ascii="宋体" w:hAnsi="宋体" w:cs="宋体"/>
                <w:bCs/>
                <w:color w:val="auto"/>
                <w:szCs w:val="21"/>
                <w:highlight w:val="none"/>
              </w:rPr>
              <w:t>2.掌握七步洗手法；严格执行手卫生</w:t>
            </w:r>
          </w:p>
        </w:tc>
        <w:tc>
          <w:tcPr>
            <w:tcW w:w="0" w:type="auto"/>
            <w:vMerge w:val="continue"/>
            <w:vAlign w:val="center"/>
          </w:tcPr>
          <w:p w14:paraId="62925C34">
            <w:pPr>
              <w:jc w:val="center"/>
              <w:rPr>
                <w:rFonts w:hint="eastAsia" w:ascii="宋体" w:hAnsi="宋体" w:cs="宋体"/>
                <w:bCs/>
                <w:color w:val="auto"/>
                <w:szCs w:val="21"/>
                <w:highlight w:val="none"/>
              </w:rPr>
            </w:pPr>
          </w:p>
        </w:tc>
      </w:tr>
      <w:tr w14:paraId="7F7FE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 w:hRule="atLeast"/>
          <w:jc w:val="center"/>
        </w:trPr>
        <w:tc>
          <w:tcPr>
            <w:tcW w:w="0" w:type="auto"/>
            <w:vMerge w:val="continue"/>
            <w:vAlign w:val="center"/>
          </w:tcPr>
          <w:p w14:paraId="1C9C7C28">
            <w:pPr>
              <w:jc w:val="center"/>
              <w:rPr>
                <w:rFonts w:hint="eastAsia" w:ascii="宋体" w:hAnsi="宋体" w:cs="宋体"/>
                <w:bCs/>
                <w:color w:val="auto"/>
                <w:szCs w:val="21"/>
                <w:highlight w:val="none"/>
              </w:rPr>
            </w:pPr>
          </w:p>
        </w:tc>
        <w:tc>
          <w:tcPr>
            <w:tcW w:w="0" w:type="auto"/>
          </w:tcPr>
          <w:p w14:paraId="3A53B9F6">
            <w:pPr>
              <w:rPr>
                <w:rFonts w:hint="eastAsia" w:ascii="宋体" w:hAnsi="宋体" w:cs="宋体"/>
                <w:bCs/>
                <w:color w:val="auto"/>
                <w:szCs w:val="21"/>
                <w:highlight w:val="none"/>
              </w:rPr>
            </w:pPr>
            <w:r>
              <w:rPr>
                <w:rFonts w:hint="eastAsia" w:ascii="宋体" w:hAnsi="宋体" w:cs="宋体"/>
                <w:bCs/>
                <w:color w:val="auto"/>
                <w:szCs w:val="21"/>
                <w:highlight w:val="none"/>
              </w:rPr>
              <w:t>3.掌握锐器伤处理流程</w:t>
            </w:r>
          </w:p>
        </w:tc>
        <w:tc>
          <w:tcPr>
            <w:tcW w:w="0" w:type="auto"/>
            <w:vMerge w:val="continue"/>
            <w:vAlign w:val="center"/>
          </w:tcPr>
          <w:p w14:paraId="3911EB62">
            <w:pPr>
              <w:jc w:val="center"/>
              <w:rPr>
                <w:rFonts w:hint="eastAsia" w:ascii="宋体" w:hAnsi="宋体" w:cs="宋体"/>
                <w:bCs/>
                <w:color w:val="auto"/>
                <w:szCs w:val="21"/>
                <w:highlight w:val="none"/>
              </w:rPr>
            </w:pPr>
          </w:p>
        </w:tc>
      </w:tr>
      <w:tr w14:paraId="1D988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0" w:type="auto"/>
            <w:vMerge w:val="continue"/>
            <w:vAlign w:val="center"/>
          </w:tcPr>
          <w:p w14:paraId="67CE96B0">
            <w:pPr>
              <w:jc w:val="center"/>
              <w:rPr>
                <w:rFonts w:hint="eastAsia" w:ascii="宋体" w:hAnsi="宋体" w:cs="宋体"/>
                <w:bCs/>
                <w:color w:val="auto"/>
                <w:szCs w:val="21"/>
                <w:highlight w:val="none"/>
              </w:rPr>
            </w:pPr>
          </w:p>
        </w:tc>
        <w:tc>
          <w:tcPr>
            <w:tcW w:w="0" w:type="auto"/>
          </w:tcPr>
          <w:p w14:paraId="7B77CE8D">
            <w:pPr>
              <w:rPr>
                <w:rFonts w:hint="eastAsia" w:ascii="宋体" w:hAnsi="宋体" w:cs="宋体"/>
                <w:bCs/>
                <w:color w:val="auto"/>
                <w:szCs w:val="21"/>
                <w:highlight w:val="none"/>
              </w:rPr>
            </w:pPr>
            <w:r>
              <w:rPr>
                <w:rFonts w:hint="eastAsia" w:ascii="宋体" w:hAnsi="宋体" w:cs="宋体"/>
                <w:bCs/>
                <w:color w:val="auto"/>
                <w:szCs w:val="21"/>
                <w:highlight w:val="none"/>
              </w:rPr>
              <w:t>4.发生职业暴露及时报告相关负责人，并填写登记表交院感处</w:t>
            </w:r>
          </w:p>
        </w:tc>
        <w:tc>
          <w:tcPr>
            <w:tcW w:w="0" w:type="auto"/>
            <w:vMerge w:val="continue"/>
            <w:vAlign w:val="center"/>
          </w:tcPr>
          <w:p w14:paraId="3E3BF7A6">
            <w:pPr>
              <w:jc w:val="center"/>
              <w:rPr>
                <w:rFonts w:hint="eastAsia" w:ascii="宋体" w:hAnsi="宋体" w:cs="宋体"/>
                <w:bCs/>
                <w:color w:val="auto"/>
                <w:szCs w:val="21"/>
                <w:highlight w:val="none"/>
              </w:rPr>
            </w:pPr>
          </w:p>
        </w:tc>
      </w:tr>
      <w:tr w14:paraId="44216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 w:hRule="atLeast"/>
          <w:jc w:val="center"/>
        </w:trPr>
        <w:tc>
          <w:tcPr>
            <w:tcW w:w="0" w:type="auto"/>
            <w:vMerge w:val="continue"/>
            <w:vAlign w:val="center"/>
          </w:tcPr>
          <w:p w14:paraId="7EC147DE">
            <w:pPr>
              <w:jc w:val="center"/>
              <w:rPr>
                <w:rFonts w:hint="eastAsia" w:ascii="宋体" w:hAnsi="宋体" w:cs="宋体"/>
                <w:bCs/>
                <w:color w:val="auto"/>
                <w:szCs w:val="21"/>
                <w:highlight w:val="none"/>
              </w:rPr>
            </w:pPr>
          </w:p>
        </w:tc>
        <w:tc>
          <w:tcPr>
            <w:tcW w:w="0" w:type="auto"/>
            <w:vAlign w:val="center"/>
          </w:tcPr>
          <w:p w14:paraId="57EEFD1E">
            <w:pPr>
              <w:rPr>
                <w:rFonts w:hint="eastAsia" w:ascii="宋体" w:hAnsi="宋体" w:cs="宋体"/>
                <w:bCs/>
                <w:color w:val="auto"/>
                <w:szCs w:val="21"/>
                <w:highlight w:val="none"/>
              </w:rPr>
            </w:pPr>
            <w:r>
              <w:rPr>
                <w:rFonts w:hint="eastAsia" w:ascii="宋体" w:hAnsi="宋体" w:cs="宋体"/>
                <w:bCs/>
                <w:color w:val="auto"/>
                <w:szCs w:val="21"/>
                <w:highlight w:val="none"/>
              </w:rPr>
              <w:t>（三）环境消杀</w:t>
            </w:r>
          </w:p>
        </w:tc>
        <w:tc>
          <w:tcPr>
            <w:tcW w:w="0" w:type="auto"/>
            <w:vMerge w:val="restart"/>
            <w:vAlign w:val="center"/>
          </w:tcPr>
          <w:p w14:paraId="06715047">
            <w:pPr>
              <w:jc w:val="center"/>
              <w:rPr>
                <w:rFonts w:hint="eastAsia" w:ascii="宋体" w:hAnsi="宋体" w:cs="宋体"/>
                <w:bCs/>
                <w:color w:val="auto"/>
                <w:szCs w:val="21"/>
                <w:highlight w:val="none"/>
              </w:rPr>
            </w:pPr>
            <w:r>
              <w:rPr>
                <w:rFonts w:hint="eastAsia" w:ascii="宋体" w:hAnsi="宋体" w:cs="宋体"/>
                <w:bCs/>
                <w:color w:val="auto"/>
                <w:szCs w:val="21"/>
                <w:highlight w:val="none"/>
              </w:rPr>
              <w:t>3</w:t>
            </w:r>
          </w:p>
        </w:tc>
      </w:tr>
      <w:tr w14:paraId="09715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0" w:type="auto"/>
            <w:vMerge w:val="continue"/>
            <w:vAlign w:val="center"/>
          </w:tcPr>
          <w:p w14:paraId="50A8F20E">
            <w:pPr>
              <w:jc w:val="center"/>
              <w:rPr>
                <w:rFonts w:hint="eastAsia" w:ascii="宋体" w:hAnsi="宋体" w:cs="宋体"/>
                <w:bCs/>
                <w:color w:val="auto"/>
                <w:szCs w:val="21"/>
                <w:highlight w:val="none"/>
              </w:rPr>
            </w:pPr>
          </w:p>
        </w:tc>
        <w:tc>
          <w:tcPr>
            <w:tcW w:w="0" w:type="auto"/>
          </w:tcPr>
          <w:p w14:paraId="7C5AF3A0">
            <w:pPr>
              <w:rPr>
                <w:rFonts w:hint="eastAsia" w:ascii="宋体" w:hAnsi="宋体" w:cs="宋体"/>
                <w:bCs/>
                <w:color w:val="auto"/>
                <w:szCs w:val="21"/>
                <w:highlight w:val="none"/>
              </w:rPr>
            </w:pPr>
            <w:r>
              <w:rPr>
                <w:rFonts w:hint="eastAsia" w:ascii="宋体" w:hAnsi="宋体" w:cs="宋体"/>
                <w:bCs/>
                <w:color w:val="auto"/>
                <w:szCs w:val="21"/>
                <w:highlight w:val="none"/>
              </w:rPr>
              <w:t>1.每天按规定对门诊等地进行消杀工作：按照消杀的相关操作程序进行，消杀后保持地面墙面台面等清洁干燥</w:t>
            </w:r>
          </w:p>
        </w:tc>
        <w:tc>
          <w:tcPr>
            <w:tcW w:w="0" w:type="auto"/>
            <w:vMerge w:val="continue"/>
            <w:vAlign w:val="center"/>
          </w:tcPr>
          <w:p w14:paraId="48413A95">
            <w:pPr>
              <w:jc w:val="center"/>
              <w:rPr>
                <w:rFonts w:hint="eastAsia" w:ascii="宋体" w:hAnsi="宋体" w:cs="宋体"/>
                <w:bCs/>
                <w:color w:val="auto"/>
                <w:szCs w:val="21"/>
                <w:highlight w:val="none"/>
              </w:rPr>
            </w:pPr>
          </w:p>
        </w:tc>
      </w:tr>
      <w:tr w14:paraId="7B847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0" w:type="auto"/>
            <w:vMerge w:val="continue"/>
            <w:vAlign w:val="center"/>
          </w:tcPr>
          <w:p w14:paraId="5B398189">
            <w:pPr>
              <w:jc w:val="center"/>
              <w:rPr>
                <w:rFonts w:hint="eastAsia" w:ascii="宋体" w:hAnsi="宋体" w:cs="宋体"/>
                <w:bCs/>
                <w:color w:val="auto"/>
                <w:szCs w:val="21"/>
                <w:highlight w:val="none"/>
              </w:rPr>
            </w:pPr>
          </w:p>
        </w:tc>
        <w:tc>
          <w:tcPr>
            <w:tcW w:w="0" w:type="auto"/>
          </w:tcPr>
          <w:p w14:paraId="482B59E2">
            <w:pPr>
              <w:rPr>
                <w:rFonts w:hint="eastAsia" w:ascii="宋体" w:hAnsi="宋体" w:cs="宋体"/>
                <w:bCs/>
                <w:color w:val="auto"/>
                <w:szCs w:val="21"/>
                <w:highlight w:val="none"/>
              </w:rPr>
            </w:pPr>
            <w:r>
              <w:rPr>
                <w:rFonts w:hint="eastAsia" w:ascii="宋体" w:hAnsi="宋体" w:cs="宋体"/>
                <w:bCs/>
                <w:color w:val="auto"/>
                <w:szCs w:val="21"/>
                <w:highlight w:val="none"/>
              </w:rPr>
              <w:t>2.门诊、医技、药房、挂号处、大厅、走廊的地面每天用500mg/L含氯消毒液消杀；感染高风险部门如检验科每天用1000mg/L含氯消毒液进行消毒（拖地或擦拭物表）；遇传染病人时按相关要求进行环境消杀</w:t>
            </w:r>
          </w:p>
        </w:tc>
        <w:tc>
          <w:tcPr>
            <w:tcW w:w="0" w:type="auto"/>
            <w:vMerge w:val="continue"/>
            <w:vAlign w:val="center"/>
          </w:tcPr>
          <w:p w14:paraId="42240945">
            <w:pPr>
              <w:jc w:val="center"/>
              <w:rPr>
                <w:rFonts w:hint="eastAsia" w:ascii="宋体" w:hAnsi="宋体" w:cs="宋体"/>
                <w:bCs/>
                <w:color w:val="auto"/>
                <w:szCs w:val="21"/>
                <w:highlight w:val="none"/>
              </w:rPr>
            </w:pPr>
          </w:p>
        </w:tc>
      </w:tr>
      <w:tr w14:paraId="33781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0" w:type="auto"/>
            <w:vMerge w:val="continue"/>
            <w:vAlign w:val="center"/>
          </w:tcPr>
          <w:p w14:paraId="23055E75">
            <w:pPr>
              <w:jc w:val="center"/>
              <w:rPr>
                <w:rFonts w:hint="eastAsia" w:ascii="宋体" w:hAnsi="宋体" w:cs="宋体"/>
                <w:bCs/>
                <w:color w:val="auto"/>
                <w:szCs w:val="21"/>
                <w:highlight w:val="none"/>
              </w:rPr>
            </w:pPr>
          </w:p>
        </w:tc>
        <w:tc>
          <w:tcPr>
            <w:tcW w:w="0" w:type="auto"/>
          </w:tcPr>
          <w:p w14:paraId="20056A60">
            <w:pPr>
              <w:rPr>
                <w:rFonts w:hint="eastAsia" w:ascii="宋体" w:hAnsi="宋体" w:cs="宋体"/>
                <w:bCs/>
                <w:color w:val="auto"/>
                <w:szCs w:val="21"/>
                <w:highlight w:val="none"/>
              </w:rPr>
            </w:pPr>
            <w:r>
              <w:rPr>
                <w:rFonts w:hint="eastAsia" w:ascii="宋体" w:hAnsi="宋体" w:cs="宋体"/>
                <w:bCs/>
                <w:color w:val="auto"/>
                <w:szCs w:val="21"/>
                <w:highlight w:val="none"/>
              </w:rPr>
              <w:t>3.地面等遇血（体）液污染时，先用吸湿材料去除污染物，再用1000mg/L的含氯消毒液作用30min后再清洁</w:t>
            </w:r>
          </w:p>
        </w:tc>
        <w:tc>
          <w:tcPr>
            <w:tcW w:w="0" w:type="auto"/>
            <w:vMerge w:val="continue"/>
            <w:vAlign w:val="center"/>
          </w:tcPr>
          <w:p w14:paraId="0ACE9D60">
            <w:pPr>
              <w:jc w:val="center"/>
              <w:rPr>
                <w:rFonts w:hint="eastAsia" w:ascii="宋体" w:hAnsi="宋体" w:cs="宋体"/>
                <w:bCs/>
                <w:color w:val="auto"/>
                <w:szCs w:val="21"/>
                <w:highlight w:val="none"/>
              </w:rPr>
            </w:pPr>
          </w:p>
        </w:tc>
      </w:tr>
      <w:tr w14:paraId="70709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0" w:type="auto"/>
            <w:vMerge w:val="continue"/>
            <w:vAlign w:val="center"/>
          </w:tcPr>
          <w:p w14:paraId="22185437">
            <w:pPr>
              <w:jc w:val="center"/>
              <w:rPr>
                <w:rFonts w:hint="eastAsia" w:ascii="宋体" w:hAnsi="宋体" w:cs="宋体"/>
                <w:bCs/>
                <w:color w:val="auto"/>
                <w:szCs w:val="21"/>
                <w:highlight w:val="none"/>
              </w:rPr>
            </w:pPr>
          </w:p>
        </w:tc>
        <w:tc>
          <w:tcPr>
            <w:tcW w:w="0" w:type="auto"/>
          </w:tcPr>
          <w:p w14:paraId="1A6382F2">
            <w:pPr>
              <w:rPr>
                <w:rFonts w:hint="eastAsia" w:ascii="宋体" w:hAnsi="宋体" w:cs="宋体"/>
                <w:bCs/>
                <w:color w:val="auto"/>
                <w:szCs w:val="21"/>
                <w:highlight w:val="none"/>
              </w:rPr>
            </w:pPr>
            <w:r>
              <w:rPr>
                <w:rFonts w:hint="eastAsia" w:ascii="宋体" w:hAnsi="宋体" w:cs="宋体"/>
                <w:bCs/>
                <w:color w:val="auto"/>
                <w:szCs w:val="21"/>
                <w:highlight w:val="none"/>
              </w:rPr>
              <w:t>4.每个拖布和桶水清洁面积不超过20m</w:t>
            </w:r>
            <w:r>
              <w:rPr>
                <w:rFonts w:hint="eastAsia" w:ascii="宋体" w:hAnsi="宋体" w:cs="宋体"/>
                <w:bCs/>
                <w:color w:val="auto"/>
                <w:szCs w:val="21"/>
                <w:highlight w:val="none"/>
                <w:vertAlign w:val="superscript"/>
              </w:rPr>
              <w:t>2</w:t>
            </w:r>
          </w:p>
        </w:tc>
        <w:tc>
          <w:tcPr>
            <w:tcW w:w="0" w:type="auto"/>
            <w:vMerge w:val="continue"/>
            <w:vAlign w:val="center"/>
          </w:tcPr>
          <w:p w14:paraId="76A343E5">
            <w:pPr>
              <w:jc w:val="center"/>
              <w:rPr>
                <w:rFonts w:hint="eastAsia" w:ascii="宋体" w:hAnsi="宋体" w:cs="宋体"/>
                <w:bCs/>
                <w:color w:val="auto"/>
                <w:szCs w:val="21"/>
                <w:highlight w:val="none"/>
              </w:rPr>
            </w:pPr>
          </w:p>
        </w:tc>
      </w:tr>
      <w:tr w14:paraId="4CEB6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0" w:type="auto"/>
            <w:vMerge w:val="continue"/>
            <w:vAlign w:val="center"/>
          </w:tcPr>
          <w:p w14:paraId="2AF95376">
            <w:pPr>
              <w:jc w:val="center"/>
              <w:rPr>
                <w:rFonts w:hint="eastAsia" w:ascii="宋体" w:hAnsi="宋体" w:cs="宋体"/>
                <w:bCs/>
                <w:color w:val="auto"/>
                <w:szCs w:val="21"/>
                <w:highlight w:val="none"/>
              </w:rPr>
            </w:pPr>
          </w:p>
        </w:tc>
        <w:tc>
          <w:tcPr>
            <w:tcW w:w="0" w:type="auto"/>
          </w:tcPr>
          <w:p w14:paraId="3A039495">
            <w:pPr>
              <w:rPr>
                <w:rFonts w:hint="eastAsia" w:ascii="宋体" w:hAnsi="宋体" w:cs="宋体"/>
                <w:bCs/>
                <w:color w:val="auto"/>
                <w:szCs w:val="21"/>
                <w:highlight w:val="none"/>
              </w:rPr>
            </w:pPr>
            <w:r>
              <w:rPr>
                <w:rFonts w:hint="eastAsia" w:ascii="宋体" w:hAnsi="宋体" w:cs="宋体"/>
                <w:bCs/>
                <w:color w:val="auto"/>
                <w:szCs w:val="21"/>
                <w:highlight w:val="none"/>
              </w:rPr>
              <w:t>5.公用垃圾桶表面每天用含氯消毒剂擦拭消杀；垃圾不得堆积过多、过久</w:t>
            </w:r>
          </w:p>
        </w:tc>
        <w:tc>
          <w:tcPr>
            <w:tcW w:w="0" w:type="auto"/>
            <w:vMerge w:val="continue"/>
            <w:vAlign w:val="center"/>
          </w:tcPr>
          <w:p w14:paraId="3667F33E">
            <w:pPr>
              <w:jc w:val="center"/>
              <w:rPr>
                <w:rFonts w:hint="eastAsia" w:ascii="宋体" w:hAnsi="宋体" w:cs="宋体"/>
                <w:bCs/>
                <w:color w:val="auto"/>
                <w:szCs w:val="21"/>
                <w:highlight w:val="none"/>
              </w:rPr>
            </w:pPr>
          </w:p>
        </w:tc>
      </w:tr>
      <w:tr w14:paraId="4EA66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0" w:type="auto"/>
            <w:vMerge w:val="continue"/>
            <w:vAlign w:val="center"/>
          </w:tcPr>
          <w:p w14:paraId="7DCAA8BB">
            <w:pPr>
              <w:jc w:val="center"/>
              <w:rPr>
                <w:rFonts w:hint="eastAsia" w:ascii="宋体" w:hAnsi="宋体" w:cs="宋体"/>
                <w:bCs/>
                <w:color w:val="auto"/>
                <w:szCs w:val="21"/>
                <w:highlight w:val="none"/>
              </w:rPr>
            </w:pPr>
          </w:p>
        </w:tc>
        <w:tc>
          <w:tcPr>
            <w:tcW w:w="0" w:type="auto"/>
          </w:tcPr>
          <w:p w14:paraId="62B808E4">
            <w:pPr>
              <w:rPr>
                <w:rFonts w:hint="eastAsia" w:ascii="宋体" w:hAnsi="宋体" w:cs="宋体"/>
                <w:bCs/>
                <w:color w:val="auto"/>
                <w:szCs w:val="21"/>
                <w:highlight w:val="none"/>
              </w:rPr>
            </w:pPr>
            <w:r>
              <w:rPr>
                <w:rFonts w:hint="eastAsia" w:ascii="宋体" w:hAnsi="宋体" w:cs="宋体"/>
                <w:bCs/>
                <w:color w:val="auto"/>
                <w:szCs w:val="21"/>
                <w:highlight w:val="none"/>
              </w:rPr>
              <w:t>6.使用后的拖布在含氯消毒液中浸泡30min后晾干备用；</w:t>
            </w:r>
          </w:p>
        </w:tc>
        <w:tc>
          <w:tcPr>
            <w:tcW w:w="0" w:type="auto"/>
            <w:vMerge w:val="continue"/>
            <w:vAlign w:val="center"/>
          </w:tcPr>
          <w:p w14:paraId="4939EF84">
            <w:pPr>
              <w:jc w:val="center"/>
              <w:rPr>
                <w:rFonts w:hint="eastAsia" w:ascii="宋体" w:hAnsi="宋体" w:cs="宋体"/>
                <w:bCs/>
                <w:color w:val="auto"/>
                <w:szCs w:val="21"/>
                <w:highlight w:val="none"/>
              </w:rPr>
            </w:pPr>
          </w:p>
        </w:tc>
      </w:tr>
      <w:tr w14:paraId="38319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jc w:val="center"/>
        </w:trPr>
        <w:tc>
          <w:tcPr>
            <w:tcW w:w="0" w:type="auto"/>
            <w:vMerge w:val="continue"/>
            <w:vAlign w:val="center"/>
          </w:tcPr>
          <w:p w14:paraId="611255FB">
            <w:pPr>
              <w:jc w:val="center"/>
              <w:rPr>
                <w:rFonts w:hint="eastAsia" w:ascii="宋体" w:hAnsi="宋体" w:cs="宋体"/>
                <w:bCs/>
                <w:color w:val="auto"/>
                <w:szCs w:val="21"/>
                <w:highlight w:val="none"/>
              </w:rPr>
            </w:pPr>
          </w:p>
        </w:tc>
        <w:tc>
          <w:tcPr>
            <w:tcW w:w="0" w:type="auto"/>
          </w:tcPr>
          <w:p w14:paraId="17795AA6">
            <w:pPr>
              <w:rPr>
                <w:rFonts w:hint="eastAsia" w:ascii="宋体" w:hAnsi="宋体" w:cs="宋体"/>
                <w:bCs/>
                <w:color w:val="auto"/>
                <w:szCs w:val="21"/>
                <w:highlight w:val="none"/>
              </w:rPr>
            </w:pPr>
            <w:r>
              <w:rPr>
                <w:rFonts w:hint="eastAsia" w:ascii="宋体" w:hAnsi="宋体" w:cs="宋体"/>
                <w:bCs/>
                <w:color w:val="auto"/>
                <w:szCs w:val="21"/>
                <w:highlight w:val="none"/>
              </w:rPr>
              <w:t>7.严格掌握所用消毒物品的使用方法、储存条件、有效期、注意事项，避免发生意外。</w:t>
            </w:r>
          </w:p>
        </w:tc>
        <w:tc>
          <w:tcPr>
            <w:tcW w:w="0" w:type="auto"/>
            <w:vMerge w:val="continue"/>
            <w:vAlign w:val="center"/>
          </w:tcPr>
          <w:p w14:paraId="25974B54">
            <w:pPr>
              <w:jc w:val="center"/>
              <w:rPr>
                <w:rFonts w:hint="eastAsia" w:ascii="宋体" w:hAnsi="宋体" w:cs="宋体"/>
                <w:bCs/>
                <w:color w:val="auto"/>
                <w:szCs w:val="21"/>
                <w:highlight w:val="none"/>
              </w:rPr>
            </w:pPr>
          </w:p>
        </w:tc>
      </w:tr>
      <w:tr w14:paraId="6525C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 w:hRule="atLeast"/>
          <w:jc w:val="center"/>
        </w:trPr>
        <w:tc>
          <w:tcPr>
            <w:tcW w:w="0" w:type="auto"/>
            <w:vMerge w:val="continue"/>
            <w:vAlign w:val="center"/>
          </w:tcPr>
          <w:p w14:paraId="60B19AD0">
            <w:pPr>
              <w:jc w:val="center"/>
              <w:rPr>
                <w:rFonts w:hint="eastAsia" w:ascii="宋体" w:hAnsi="宋体" w:cs="宋体"/>
                <w:bCs/>
                <w:color w:val="auto"/>
                <w:szCs w:val="21"/>
                <w:highlight w:val="none"/>
              </w:rPr>
            </w:pPr>
          </w:p>
        </w:tc>
        <w:tc>
          <w:tcPr>
            <w:tcW w:w="0" w:type="auto"/>
          </w:tcPr>
          <w:p w14:paraId="188D0784">
            <w:pPr>
              <w:rPr>
                <w:rFonts w:hint="eastAsia" w:ascii="宋体" w:hAnsi="宋体" w:cs="宋体"/>
                <w:bCs/>
                <w:color w:val="auto"/>
                <w:szCs w:val="21"/>
                <w:highlight w:val="none"/>
              </w:rPr>
            </w:pPr>
            <w:r>
              <w:rPr>
                <w:rFonts w:hint="eastAsia" w:ascii="宋体" w:hAnsi="宋体" w:cs="宋体"/>
                <w:bCs/>
                <w:color w:val="auto"/>
                <w:szCs w:val="21"/>
                <w:highlight w:val="none"/>
              </w:rPr>
              <w:t>8.正确掌握含氯消毒液的配制方法，相关容器标好刻度标记</w:t>
            </w:r>
          </w:p>
        </w:tc>
        <w:tc>
          <w:tcPr>
            <w:tcW w:w="0" w:type="auto"/>
            <w:vMerge w:val="continue"/>
            <w:vAlign w:val="center"/>
          </w:tcPr>
          <w:p w14:paraId="75660048">
            <w:pPr>
              <w:jc w:val="center"/>
              <w:rPr>
                <w:rFonts w:hint="eastAsia" w:ascii="宋体" w:hAnsi="宋体" w:cs="宋体"/>
                <w:bCs/>
                <w:color w:val="auto"/>
                <w:szCs w:val="21"/>
                <w:highlight w:val="none"/>
              </w:rPr>
            </w:pPr>
          </w:p>
        </w:tc>
      </w:tr>
      <w:tr w14:paraId="15910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 w:hRule="atLeast"/>
          <w:jc w:val="center"/>
        </w:trPr>
        <w:tc>
          <w:tcPr>
            <w:tcW w:w="0" w:type="auto"/>
            <w:vMerge w:val="continue"/>
            <w:vAlign w:val="center"/>
          </w:tcPr>
          <w:p w14:paraId="7532E434">
            <w:pPr>
              <w:jc w:val="center"/>
              <w:rPr>
                <w:rFonts w:hint="eastAsia" w:ascii="宋体" w:hAnsi="宋体" w:cs="宋体"/>
                <w:bCs/>
                <w:color w:val="auto"/>
                <w:szCs w:val="21"/>
                <w:highlight w:val="none"/>
              </w:rPr>
            </w:pPr>
          </w:p>
        </w:tc>
        <w:tc>
          <w:tcPr>
            <w:tcW w:w="0" w:type="auto"/>
          </w:tcPr>
          <w:p w14:paraId="3C699B1F">
            <w:pPr>
              <w:rPr>
                <w:rFonts w:hint="eastAsia" w:ascii="宋体" w:hAnsi="宋体" w:cs="宋体"/>
                <w:bCs/>
                <w:color w:val="auto"/>
                <w:szCs w:val="21"/>
                <w:highlight w:val="none"/>
              </w:rPr>
            </w:pPr>
            <w:r>
              <w:rPr>
                <w:rFonts w:hint="eastAsia" w:ascii="宋体" w:hAnsi="宋体" w:cs="宋体"/>
                <w:bCs/>
                <w:color w:val="auto"/>
                <w:szCs w:val="21"/>
                <w:highlight w:val="none"/>
              </w:rPr>
              <w:t>9.消杀工具保持整洁</w:t>
            </w:r>
          </w:p>
        </w:tc>
        <w:tc>
          <w:tcPr>
            <w:tcW w:w="0" w:type="auto"/>
            <w:vMerge w:val="continue"/>
            <w:vAlign w:val="center"/>
          </w:tcPr>
          <w:p w14:paraId="3A70D465">
            <w:pPr>
              <w:jc w:val="center"/>
              <w:rPr>
                <w:rFonts w:hint="eastAsia" w:ascii="宋体" w:hAnsi="宋体" w:cs="宋体"/>
                <w:bCs/>
                <w:color w:val="auto"/>
                <w:szCs w:val="21"/>
                <w:highlight w:val="none"/>
              </w:rPr>
            </w:pPr>
          </w:p>
        </w:tc>
      </w:tr>
      <w:tr w14:paraId="405FC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 w:hRule="atLeast"/>
          <w:jc w:val="center"/>
        </w:trPr>
        <w:tc>
          <w:tcPr>
            <w:tcW w:w="0" w:type="auto"/>
            <w:vMerge w:val="continue"/>
            <w:vAlign w:val="center"/>
          </w:tcPr>
          <w:p w14:paraId="7710501A">
            <w:pPr>
              <w:jc w:val="center"/>
              <w:rPr>
                <w:rFonts w:hint="eastAsia" w:ascii="宋体" w:hAnsi="宋体" w:cs="宋体"/>
                <w:bCs/>
                <w:color w:val="auto"/>
                <w:szCs w:val="21"/>
                <w:highlight w:val="none"/>
              </w:rPr>
            </w:pPr>
          </w:p>
        </w:tc>
        <w:tc>
          <w:tcPr>
            <w:tcW w:w="0" w:type="auto"/>
            <w:vAlign w:val="center"/>
          </w:tcPr>
          <w:p w14:paraId="47DDE324">
            <w:pPr>
              <w:rPr>
                <w:rFonts w:hint="eastAsia" w:ascii="宋体" w:hAnsi="宋体" w:cs="宋体"/>
                <w:bCs/>
                <w:color w:val="auto"/>
                <w:szCs w:val="21"/>
                <w:highlight w:val="none"/>
              </w:rPr>
            </w:pPr>
            <w:r>
              <w:rPr>
                <w:rFonts w:hint="eastAsia" w:ascii="宋体" w:hAnsi="宋体" w:cs="宋体"/>
                <w:bCs/>
                <w:color w:val="auto"/>
                <w:szCs w:val="21"/>
                <w:highlight w:val="none"/>
              </w:rPr>
              <w:t>（四）医疗废物</w:t>
            </w:r>
          </w:p>
        </w:tc>
        <w:tc>
          <w:tcPr>
            <w:tcW w:w="0" w:type="auto"/>
            <w:vMerge w:val="restart"/>
            <w:vAlign w:val="center"/>
          </w:tcPr>
          <w:p w14:paraId="265FB2EC">
            <w:pPr>
              <w:jc w:val="center"/>
              <w:rPr>
                <w:rFonts w:hint="eastAsia" w:ascii="宋体" w:hAnsi="宋体" w:cs="宋体"/>
                <w:bCs/>
                <w:color w:val="auto"/>
                <w:szCs w:val="21"/>
                <w:highlight w:val="none"/>
              </w:rPr>
            </w:pPr>
            <w:r>
              <w:rPr>
                <w:rFonts w:hint="eastAsia" w:ascii="宋体" w:hAnsi="宋体" w:cs="宋体"/>
                <w:bCs/>
                <w:color w:val="auto"/>
                <w:szCs w:val="21"/>
                <w:highlight w:val="none"/>
              </w:rPr>
              <w:t>3</w:t>
            </w:r>
          </w:p>
        </w:tc>
      </w:tr>
      <w:tr w14:paraId="2E4F7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jc w:val="center"/>
        </w:trPr>
        <w:tc>
          <w:tcPr>
            <w:tcW w:w="0" w:type="auto"/>
            <w:vMerge w:val="continue"/>
            <w:vAlign w:val="center"/>
          </w:tcPr>
          <w:p w14:paraId="369D55C3">
            <w:pPr>
              <w:jc w:val="center"/>
              <w:rPr>
                <w:rFonts w:hint="eastAsia" w:ascii="宋体" w:hAnsi="宋体" w:cs="宋体"/>
                <w:bCs/>
                <w:color w:val="auto"/>
                <w:szCs w:val="21"/>
                <w:highlight w:val="none"/>
              </w:rPr>
            </w:pPr>
          </w:p>
        </w:tc>
        <w:tc>
          <w:tcPr>
            <w:tcW w:w="0" w:type="auto"/>
          </w:tcPr>
          <w:p w14:paraId="4CEFD914">
            <w:pPr>
              <w:rPr>
                <w:rFonts w:hint="eastAsia" w:ascii="宋体" w:hAnsi="宋体" w:cs="宋体"/>
                <w:bCs/>
                <w:color w:val="auto"/>
                <w:szCs w:val="21"/>
                <w:highlight w:val="none"/>
              </w:rPr>
            </w:pPr>
            <w:r>
              <w:rPr>
                <w:rFonts w:hint="eastAsia" w:ascii="宋体" w:hAnsi="宋体" w:cs="宋体"/>
                <w:bCs/>
                <w:color w:val="auto"/>
                <w:szCs w:val="21"/>
                <w:highlight w:val="none"/>
              </w:rPr>
              <w:t>1.运送人员每天按规定线路进病房收取医疗废物</w:t>
            </w:r>
          </w:p>
        </w:tc>
        <w:tc>
          <w:tcPr>
            <w:tcW w:w="0" w:type="auto"/>
            <w:vMerge w:val="continue"/>
            <w:vAlign w:val="center"/>
          </w:tcPr>
          <w:p w14:paraId="2867B9CC">
            <w:pPr>
              <w:jc w:val="center"/>
              <w:rPr>
                <w:rFonts w:hint="eastAsia" w:ascii="宋体" w:hAnsi="宋体" w:cs="宋体"/>
                <w:bCs/>
                <w:color w:val="auto"/>
                <w:szCs w:val="21"/>
                <w:highlight w:val="none"/>
              </w:rPr>
            </w:pPr>
          </w:p>
        </w:tc>
      </w:tr>
      <w:tr w14:paraId="38DEB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0" w:type="auto"/>
            <w:vMerge w:val="continue"/>
            <w:vAlign w:val="center"/>
          </w:tcPr>
          <w:p w14:paraId="3AD3B604">
            <w:pPr>
              <w:jc w:val="center"/>
              <w:rPr>
                <w:rFonts w:hint="eastAsia" w:ascii="宋体" w:hAnsi="宋体" w:cs="宋体"/>
                <w:bCs/>
                <w:color w:val="auto"/>
                <w:szCs w:val="21"/>
                <w:highlight w:val="none"/>
              </w:rPr>
            </w:pPr>
          </w:p>
        </w:tc>
        <w:tc>
          <w:tcPr>
            <w:tcW w:w="0" w:type="auto"/>
          </w:tcPr>
          <w:p w14:paraId="66FA99C2">
            <w:pPr>
              <w:rPr>
                <w:rFonts w:hint="eastAsia" w:ascii="宋体" w:hAnsi="宋体" w:cs="宋体"/>
                <w:bCs/>
                <w:color w:val="auto"/>
                <w:szCs w:val="21"/>
                <w:highlight w:val="none"/>
              </w:rPr>
            </w:pPr>
            <w:r>
              <w:rPr>
                <w:rFonts w:hint="eastAsia" w:ascii="宋体" w:hAnsi="宋体" w:cs="宋体"/>
                <w:bCs/>
                <w:color w:val="auto"/>
                <w:szCs w:val="21"/>
                <w:highlight w:val="none"/>
              </w:rPr>
              <w:t>2.运送人员与医疗废物产生科室当面称重交接，双方签字</w:t>
            </w:r>
          </w:p>
        </w:tc>
        <w:tc>
          <w:tcPr>
            <w:tcW w:w="0" w:type="auto"/>
            <w:vMerge w:val="continue"/>
            <w:vAlign w:val="center"/>
          </w:tcPr>
          <w:p w14:paraId="36E98D4E">
            <w:pPr>
              <w:jc w:val="center"/>
              <w:rPr>
                <w:rFonts w:hint="eastAsia" w:ascii="宋体" w:hAnsi="宋体" w:cs="宋体"/>
                <w:bCs/>
                <w:color w:val="auto"/>
                <w:szCs w:val="21"/>
                <w:highlight w:val="none"/>
              </w:rPr>
            </w:pPr>
          </w:p>
        </w:tc>
      </w:tr>
      <w:tr w14:paraId="6477F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0" w:type="auto"/>
            <w:vMerge w:val="continue"/>
            <w:vAlign w:val="center"/>
          </w:tcPr>
          <w:p w14:paraId="541510FA">
            <w:pPr>
              <w:jc w:val="center"/>
              <w:rPr>
                <w:rFonts w:hint="eastAsia" w:ascii="宋体" w:hAnsi="宋体" w:cs="宋体"/>
                <w:bCs/>
                <w:color w:val="auto"/>
                <w:szCs w:val="21"/>
                <w:highlight w:val="none"/>
              </w:rPr>
            </w:pPr>
          </w:p>
        </w:tc>
        <w:tc>
          <w:tcPr>
            <w:tcW w:w="0" w:type="auto"/>
          </w:tcPr>
          <w:p w14:paraId="47392AA0">
            <w:pPr>
              <w:rPr>
                <w:rFonts w:hint="eastAsia" w:ascii="宋体" w:hAnsi="宋体" w:cs="宋体"/>
                <w:bCs/>
                <w:color w:val="auto"/>
                <w:szCs w:val="21"/>
                <w:highlight w:val="none"/>
              </w:rPr>
            </w:pPr>
            <w:r>
              <w:rPr>
                <w:rFonts w:hint="eastAsia" w:ascii="宋体" w:hAnsi="宋体" w:cs="宋体"/>
                <w:bCs/>
                <w:color w:val="auto"/>
                <w:szCs w:val="21"/>
                <w:highlight w:val="none"/>
              </w:rPr>
              <w:t>3.运送人员在运送医疗废物前，应当检查包装物或容器的标识、标签及封口是否符合要求，不得将不符合要求的医疗废物运送至暂存处。</w:t>
            </w:r>
          </w:p>
        </w:tc>
        <w:tc>
          <w:tcPr>
            <w:tcW w:w="0" w:type="auto"/>
            <w:vMerge w:val="continue"/>
            <w:vAlign w:val="center"/>
          </w:tcPr>
          <w:p w14:paraId="772513DD">
            <w:pPr>
              <w:jc w:val="center"/>
              <w:rPr>
                <w:rFonts w:hint="eastAsia" w:ascii="宋体" w:hAnsi="宋体" w:cs="宋体"/>
                <w:bCs/>
                <w:color w:val="auto"/>
                <w:szCs w:val="21"/>
                <w:highlight w:val="none"/>
              </w:rPr>
            </w:pPr>
          </w:p>
        </w:tc>
      </w:tr>
      <w:tr w14:paraId="271DF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 w:hRule="atLeast"/>
          <w:jc w:val="center"/>
        </w:trPr>
        <w:tc>
          <w:tcPr>
            <w:tcW w:w="0" w:type="auto"/>
            <w:vMerge w:val="continue"/>
            <w:vAlign w:val="center"/>
          </w:tcPr>
          <w:p w14:paraId="69BF9204">
            <w:pPr>
              <w:jc w:val="center"/>
              <w:rPr>
                <w:rFonts w:hint="eastAsia" w:ascii="宋体" w:hAnsi="宋体" w:cs="宋体"/>
                <w:bCs/>
                <w:color w:val="auto"/>
                <w:szCs w:val="21"/>
                <w:highlight w:val="none"/>
              </w:rPr>
            </w:pPr>
          </w:p>
        </w:tc>
        <w:tc>
          <w:tcPr>
            <w:tcW w:w="0" w:type="auto"/>
          </w:tcPr>
          <w:p w14:paraId="75519B7C">
            <w:pPr>
              <w:rPr>
                <w:rFonts w:hint="eastAsia" w:ascii="宋体" w:hAnsi="宋体" w:cs="宋体"/>
                <w:bCs/>
                <w:color w:val="auto"/>
                <w:szCs w:val="21"/>
                <w:highlight w:val="none"/>
              </w:rPr>
            </w:pPr>
            <w:r>
              <w:rPr>
                <w:rFonts w:hint="eastAsia" w:ascii="宋体" w:hAnsi="宋体" w:cs="宋体"/>
                <w:bCs/>
                <w:color w:val="auto"/>
                <w:szCs w:val="21"/>
                <w:highlight w:val="none"/>
              </w:rPr>
              <w:t>4.运送人员在运送医疗废物时，应当防止包装物或容器破损包装物或容器破损和医疗废物流失、泄露和扩散，并防止医疗废物直接接触身体</w:t>
            </w:r>
          </w:p>
        </w:tc>
        <w:tc>
          <w:tcPr>
            <w:tcW w:w="0" w:type="auto"/>
            <w:vMerge w:val="continue"/>
            <w:vAlign w:val="center"/>
          </w:tcPr>
          <w:p w14:paraId="56C6E3CC">
            <w:pPr>
              <w:jc w:val="center"/>
              <w:rPr>
                <w:rFonts w:hint="eastAsia" w:ascii="宋体" w:hAnsi="宋体" w:cs="宋体"/>
                <w:bCs/>
                <w:color w:val="auto"/>
                <w:szCs w:val="21"/>
                <w:highlight w:val="none"/>
              </w:rPr>
            </w:pPr>
          </w:p>
        </w:tc>
      </w:tr>
      <w:tr w14:paraId="7AD78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0" w:type="auto"/>
            <w:vMerge w:val="continue"/>
            <w:vAlign w:val="center"/>
          </w:tcPr>
          <w:p w14:paraId="449D67A7">
            <w:pPr>
              <w:jc w:val="center"/>
              <w:rPr>
                <w:rFonts w:hint="eastAsia" w:ascii="宋体" w:hAnsi="宋体" w:cs="宋体"/>
                <w:bCs/>
                <w:color w:val="auto"/>
                <w:szCs w:val="21"/>
                <w:highlight w:val="none"/>
              </w:rPr>
            </w:pPr>
          </w:p>
        </w:tc>
        <w:tc>
          <w:tcPr>
            <w:tcW w:w="0" w:type="auto"/>
          </w:tcPr>
          <w:p w14:paraId="659E3986">
            <w:pPr>
              <w:rPr>
                <w:rFonts w:hint="eastAsia" w:ascii="宋体" w:hAnsi="宋体" w:cs="宋体"/>
                <w:bCs/>
                <w:color w:val="auto"/>
                <w:szCs w:val="21"/>
                <w:highlight w:val="none"/>
              </w:rPr>
            </w:pPr>
            <w:r>
              <w:rPr>
                <w:rFonts w:hint="eastAsia" w:ascii="宋体" w:hAnsi="宋体" w:cs="宋体"/>
                <w:bCs/>
                <w:color w:val="auto"/>
                <w:szCs w:val="21"/>
                <w:highlight w:val="none"/>
              </w:rPr>
              <w:t>5.使用医疗废物专用运送车运送医疗废物；每天运送完毕后，对运送车、暂存地进行清洁与消毒，并做好相关记录</w:t>
            </w:r>
          </w:p>
        </w:tc>
        <w:tc>
          <w:tcPr>
            <w:tcW w:w="0" w:type="auto"/>
            <w:vMerge w:val="continue"/>
            <w:vAlign w:val="center"/>
          </w:tcPr>
          <w:p w14:paraId="0211AAF1">
            <w:pPr>
              <w:jc w:val="center"/>
              <w:rPr>
                <w:rFonts w:hint="eastAsia" w:ascii="宋体" w:hAnsi="宋体" w:cs="宋体"/>
                <w:bCs/>
                <w:color w:val="auto"/>
                <w:szCs w:val="21"/>
                <w:highlight w:val="none"/>
              </w:rPr>
            </w:pPr>
          </w:p>
        </w:tc>
      </w:tr>
      <w:tr w14:paraId="516F4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vMerge w:val="continue"/>
            <w:vAlign w:val="center"/>
          </w:tcPr>
          <w:p w14:paraId="39DD147A">
            <w:pPr>
              <w:jc w:val="center"/>
              <w:rPr>
                <w:rFonts w:hint="eastAsia" w:ascii="宋体" w:hAnsi="宋体" w:cs="宋体"/>
                <w:bCs/>
                <w:color w:val="auto"/>
                <w:szCs w:val="21"/>
                <w:highlight w:val="none"/>
              </w:rPr>
            </w:pPr>
          </w:p>
        </w:tc>
        <w:tc>
          <w:tcPr>
            <w:tcW w:w="0" w:type="auto"/>
          </w:tcPr>
          <w:p w14:paraId="71677059">
            <w:pPr>
              <w:rPr>
                <w:rFonts w:hint="eastAsia" w:ascii="宋体" w:hAnsi="宋体" w:cs="宋体"/>
                <w:bCs/>
                <w:color w:val="auto"/>
                <w:szCs w:val="21"/>
                <w:highlight w:val="none"/>
              </w:rPr>
            </w:pPr>
            <w:r>
              <w:rPr>
                <w:rFonts w:hint="eastAsia" w:ascii="宋体" w:hAnsi="宋体" w:cs="宋体"/>
                <w:bCs/>
                <w:color w:val="auto"/>
                <w:szCs w:val="21"/>
                <w:highlight w:val="none"/>
              </w:rPr>
              <w:t>6.禁止转让、买卖医疗废物以及空输液瓶；禁止在非暂存处堆放医疗废物；禁止将医疗废物混入其它废物和生活垃圾</w:t>
            </w:r>
          </w:p>
        </w:tc>
        <w:tc>
          <w:tcPr>
            <w:tcW w:w="0" w:type="auto"/>
            <w:vMerge w:val="continue"/>
            <w:vAlign w:val="center"/>
          </w:tcPr>
          <w:p w14:paraId="284DF2FB">
            <w:pPr>
              <w:jc w:val="center"/>
              <w:rPr>
                <w:rFonts w:hint="eastAsia" w:ascii="宋体" w:hAnsi="宋体" w:cs="宋体"/>
                <w:bCs/>
                <w:color w:val="auto"/>
                <w:szCs w:val="21"/>
                <w:highlight w:val="none"/>
              </w:rPr>
            </w:pPr>
          </w:p>
        </w:tc>
      </w:tr>
      <w:tr w14:paraId="71821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0" w:type="auto"/>
            <w:vMerge w:val="continue"/>
            <w:vAlign w:val="center"/>
          </w:tcPr>
          <w:p w14:paraId="355D9DB8">
            <w:pPr>
              <w:jc w:val="center"/>
              <w:rPr>
                <w:rFonts w:hint="eastAsia" w:ascii="宋体" w:hAnsi="宋体" w:cs="宋体"/>
                <w:bCs/>
                <w:color w:val="auto"/>
                <w:szCs w:val="21"/>
                <w:highlight w:val="none"/>
              </w:rPr>
            </w:pPr>
          </w:p>
        </w:tc>
        <w:tc>
          <w:tcPr>
            <w:tcW w:w="0" w:type="auto"/>
          </w:tcPr>
          <w:p w14:paraId="63787322">
            <w:pPr>
              <w:rPr>
                <w:rFonts w:hint="eastAsia" w:ascii="宋体" w:hAnsi="宋体" w:cs="宋体"/>
                <w:bCs/>
                <w:color w:val="auto"/>
                <w:szCs w:val="21"/>
                <w:highlight w:val="none"/>
              </w:rPr>
            </w:pPr>
            <w:r>
              <w:rPr>
                <w:rFonts w:hint="eastAsia" w:ascii="宋体" w:hAnsi="宋体" w:cs="宋体"/>
                <w:bCs/>
                <w:color w:val="auto"/>
                <w:szCs w:val="21"/>
                <w:highlight w:val="none"/>
              </w:rPr>
              <w:t>7.发生医疗废物流失、泄露、扩散和意外事故时，应立即报告后勤负责人、医院感染管理处负责人</w:t>
            </w:r>
          </w:p>
        </w:tc>
        <w:tc>
          <w:tcPr>
            <w:tcW w:w="0" w:type="auto"/>
            <w:vMerge w:val="continue"/>
            <w:vAlign w:val="center"/>
          </w:tcPr>
          <w:p w14:paraId="1EE5D0A5">
            <w:pPr>
              <w:jc w:val="center"/>
              <w:rPr>
                <w:rFonts w:hint="eastAsia" w:ascii="宋体" w:hAnsi="宋体" w:cs="宋体"/>
                <w:bCs/>
                <w:color w:val="auto"/>
                <w:szCs w:val="21"/>
                <w:highlight w:val="none"/>
              </w:rPr>
            </w:pPr>
          </w:p>
        </w:tc>
      </w:tr>
      <w:tr w14:paraId="5DEB0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0" w:type="auto"/>
            <w:vMerge w:val="continue"/>
            <w:vAlign w:val="center"/>
          </w:tcPr>
          <w:p w14:paraId="26929920">
            <w:pPr>
              <w:jc w:val="center"/>
              <w:rPr>
                <w:rFonts w:hint="eastAsia" w:ascii="宋体" w:hAnsi="宋体" w:cs="宋体"/>
                <w:bCs/>
                <w:color w:val="auto"/>
                <w:szCs w:val="21"/>
                <w:highlight w:val="none"/>
              </w:rPr>
            </w:pPr>
          </w:p>
        </w:tc>
        <w:tc>
          <w:tcPr>
            <w:tcW w:w="0" w:type="auto"/>
            <w:vAlign w:val="center"/>
          </w:tcPr>
          <w:p w14:paraId="6109312C">
            <w:pPr>
              <w:rPr>
                <w:rFonts w:hint="eastAsia" w:ascii="宋体" w:hAnsi="宋体" w:cs="宋体"/>
                <w:bCs/>
                <w:color w:val="auto"/>
                <w:szCs w:val="21"/>
                <w:highlight w:val="none"/>
              </w:rPr>
            </w:pPr>
            <w:r>
              <w:rPr>
                <w:rFonts w:hint="eastAsia" w:ascii="宋体" w:hAnsi="宋体" w:cs="宋体"/>
                <w:bCs/>
                <w:color w:val="auto"/>
                <w:szCs w:val="21"/>
                <w:highlight w:val="none"/>
              </w:rPr>
              <w:t>（五）拖把间</w:t>
            </w:r>
          </w:p>
        </w:tc>
        <w:tc>
          <w:tcPr>
            <w:tcW w:w="0" w:type="auto"/>
            <w:vMerge w:val="restart"/>
            <w:vAlign w:val="center"/>
          </w:tcPr>
          <w:p w14:paraId="38B048F1">
            <w:pPr>
              <w:jc w:val="center"/>
              <w:rPr>
                <w:rFonts w:hint="eastAsia" w:ascii="宋体" w:hAnsi="宋体" w:cs="宋体"/>
                <w:bCs/>
                <w:color w:val="auto"/>
                <w:szCs w:val="21"/>
                <w:highlight w:val="none"/>
              </w:rPr>
            </w:pPr>
            <w:r>
              <w:rPr>
                <w:rFonts w:hint="eastAsia" w:ascii="宋体" w:hAnsi="宋体" w:cs="宋体"/>
                <w:bCs/>
                <w:color w:val="auto"/>
                <w:szCs w:val="21"/>
                <w:highlight w:val="none"/>
              </w:rPr>
              <w:t>2</w:t>
            </w:r>
          </w:p>
        </w:tc>
      </w:tr>
      <w:tr w14:paraId="3B005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0" w:type="auto"/>
            <w:vMerge w:val="continue"/>
            <w:vAlign w:val="center"/>
          </w:tcPr>
          <w:p w14:paraId="1C267EC9">
            <w:pPr>
              <w:jc w:val="center"/>
              <w:rPr>
                <w:rFonts w:hint="eastAsia" w:ascii="宋体" w:hAnsi="宋体" w:cs="宋体"/>
                <w:bCs/>
                <w:color w:val="auto"/>
                <w:szCs w:val="21"/>
                <w:highlight w:val="none"/>
              </w:rPr>
            </w:pPr>
          </w:p>
        </w:tc>
        <w:tc>
          <w:tcPr>
            <w:tcW w:w="0" w:type="auto"/>
          </w:tcPr>
          <w:p w14:paraId="0BDA9919">
            <w:pPr>
              <w:rPr>
                <w:rFonts w:hint="eastAsia" w:ascii="宋体" w:hAnsi="宋体" w:cs="宋体"/>
                <w:bCs/>
                <w:color w:val="auto"/>
                <w:szCs w:val="21"/>
                <w:highlight w:val="none"/>
              </w:rPr>
            </w:pPr>
            <w:r>
              <w:rPr>
                <w:rFonts w:hint="eastAsia" w:ascii="宋体" w:hAnsi="宋体" w:cs="宋体"/>
                <w:bCs/>
                <w:color w:val="auto"/>
                <w:szCs w:val="21"/>
                <w:highlight w:val="none"/>
              </w:rPr>
              <w:t>1.保持拖把间整洁、无异味</w:t>
            </w:r>
          </w:p>
        </w:tc>
        <w:tc>
          <w:tcPr>
            <w:tcW w:w="0" w:type="auto"/>
            <w:vMerge w:val="continue"/>
            <w:vAlign w:val="center"/>
          </w:tcPr>
          <w:p w14:paraId="5C3010C6">
            <w:pPr>
              <w:jc w:val="center"/>
              <w:rPr>
                <w:rFonts w:hint="eastAsia" w:ascii="宋体" w:hAnsi="宋体" w:cs="宋体"/>
                <w:bCs/>
                <w:color w:val="auto"/>
                <w:szCs w:val="21"/>
                <w:highlight w:val="none"/>
              </w:rPr>
            </w:pPr>
          </w:p>
        </w:tc>
      </w:tr>
      <w:tr w14:paraId="36B41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jc w:val="center"/>
        </w:trPr>
        <w:tc>
          <w:tcPr>
            <w:tcW w:w="0" w:type="auto"/>
            <w:vMerge w:val="continue"/>
            <w:vAlign w:val="center"/>
          </w:tcPr>
          <w:p w14:paraId="17A4EFB5">
            <w:pPr>
              <w:jc w:val="center"/>
              <w:rPr>
                <w:rFonts w:hint="eastAsia" w:ascii="宋体" w:hAnsi="宋体" w:cs="宋体"/>
                <w:bCs/>
                <w:color w:val="auto"/>
                <w:szCs w:val="21"/>
                <w:highlight w:val="none"/>
              </w:rPr>
            </w:pPr>
          </w:p>
        </w:tc>
        <w:tc>
          <w:tcPr>
            <w:tcW w:w="0" w:type="auto"/>
          </w:tcPr>
          <w:p w14:paraId="2D8CA256">
            <w:pPr>
              <w:rPr>
                <w:rFonts w:hint="eastAsia" w:ascii="宋体" w:hAnsi="宋体" w:cs="宋体"/>
                <w:bCs/>
                <w:color w:val="auto"/>
                <w:szCs w:val="21"/>
                <w:highlight w:val="none"/>
              </w:rPr>
            </w:pPr>
            <w:r>
              <w:rPr>
                <w:rFonts w:hint="eastAsia" w:ascii="宋体" w:hAnsi="宋体" w:cs="宋体"/>
                <w:bCs/>
                <w:color w:val="auto"/>
                <w:szCs w:val="21"/>
                <w:highlight w:val="none"/>
              </w:rPr>
              <w:t>2.拖把、抹布按分区挂好，不得乱放或藏于小间内</w:t>
            </w:r>
          </w:p>
        </w:tc>
        <w:tc>
          <w:tcPr>
            <w:tcW w:w="0" w:type="auto"/>
            <w:vMerge w:val="continue"/>
            <w:vAlign w:val="center"/>
          </w:tcPr>
          <w:p w14:paraId="073C7DD6">
            <w:pPr>
              <w:jc w:val="center"/>
              <w:rPr>
                <w:rFonts w:hint="eastAsia" w:ascii="宋体" w:hAnsi="宋体" w:cs="宋体"/>
                <w:bCs/>
                <w:color w:val="auto"/>
                <w:szCs w:val="21"/>
                <w:highlight w:val="none"/>
              </w:rPr>
            </w:pPr>
          </w:p>
        </w:tc>
      </w:tr>
      <w:tr w14:paraId="460F2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 w:hRule="atLeast"/>
          <w:jc w:val="center"/>
        </w:trPr>
        <w:tc>
          <w:tcPr>
            <w:tcW w:w="0" w:type="auto"/>
            <w:vMerge w:val="continue"/>
            <w:vAlign w:val="center"/>
          </w:tcPr>
          <w:p w14:paraId="36EB4836">
            <w:pPr>
              <w:jc w:val="center"/>
              <w:rPr>
                <w:rFonts w:hint="eastAsia" w:ascii="宋体" w:hAnsi="宋体" w:cs="宋体"/>
                <w:bCs/>
                <w:color w:val="auto"/>
                <w:szCs w:val="21"/>
                <w:highlight w:val="none"/>
              </w:rPr>
            </w:pPr>
          </w:p>
        </w:tc>
        <w:tc>
          <w:tcPr>
            <w:tcW w:w="0" w:type="auto"/>
          </w:tcPr>
          <w:p w14:paraId="7B3E02AD">
            <w:pPr>
              <w:rPr>
                <w:rFonts w:hint="eastAsia" w:ascii="宋体" w:hAnsi="宋体" w:cs="宋体"/>
                <w:bCs/>
                <w:color w:val="auto"/>
                <w:szCs w:val="21"/>
                <w:highlight w:val="none"/>
              </w:rPr>
            </w:pPr>
            <w:r>
              <w:rPr>
                <w:rFonts w:hint="eastAsia" w:ascii="宋体" w:hAnsi="宋体" w:cs="宋体"/>
                <w:bCs/>
                <w:color w:val="auto"/>
                <w:szCs w:val="21"/>
                <w:highlight w:val="none"/>
              </w:rPr>
              <w:t>3消杀人眼掌握拖把和抹布的分区使用要求</w:t>
            </w:r>
          </w:p>
        </w:tc>
        <w:tc>
          <w:tcPr>
            <w:tcW w:w="0" w:type="auto"/>
            <w:vMerge w:val="continue"/>
            <w:vAlign w:val="center"/>
          </w:tcPr>
          <w:p w14:paraId="14F9967E">
            <w:pPr>
              <w:jc w:val="center"/>
              <w:rPr>
                <w:rFonts w:hint="eastAsia" w:ascii="宋体" w:hAnsi="宋体" w:cs="宋体"/>
                <w:bCs/>
                <w:color w:val="auto"/>
                <w:szCs w:val="21"/>
                <w:highlight w:val="none"/>
              </w:rPr>
            </w:pPr>
          </w:p>
        </w:tc>
      </w:tr>
      <w:tr w14:paraId="03F91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 w:hRule="atLeast"/>
          <w:jc w:val="center"/>
        </w:trPr>
        <w:tc>
          <w:tcPr>
            <w:tcW w:w="0" w:type="auto"/>
            <w:vMerge w:val="continue"/>
            <w:vAlign w:val="center"/>
          </w:tcPr>
          <w:p w14:paraId="4F1CA4FC">
            <w:pPr>
              <w:jc w:val="center"/>
              <w:rPr>
                <w:rFonts w:hint="eastAsia" w:ascii="宋体" w:hAnsi="宋体" w:cs="宋体"/>
                <w:bCs/>
                <w:color w:val="auto"/>
                <w:szCs w:val="21"/>
                <w:highlight w:val="none"/>
              </w:rPr>
            </w:pPr>
          </w:p>
        </w:tc>
        <w:tc>
          <w:tcPr>
            <w:tcW w:w="0" w:type="auto"/>
            <w:vAlign w:val="center"/>
          </w:tcPr>
          <w:p w14:paraId="18F23DD4">
            <w:pPr>
              <w:rPr>
                <w:rFonts w:hint="eastAsia" w:ascii="宋体" w:hAnsi="宋体" w:cs="宋体"/>
                <w:bCs/>
                <w:color w:val="auto"/>
                <w:szCs w:val="21"/>
                <w:highlight w:val="none"/>
              </w:rPr>
            </w:pPr>
            <w:r>
              <w:rPr>
                <w:rFonts w:hint="eastAsia" w:ascii="宋体" w:hAnsi="宋体" w:cs="宋体"/>
                <w:bCs/>
                <w:color w:val="auto"/>
                <w:szCs w:val="21"/>
                <w:highlight w:val="none"/>
              </w:rPr>
              <w:t>（六）洗衣房</w:t>
            </w:r>
          </w:p>
        </w:tc>
        <w:tc>
          <w:tcPr>
            <w:tcW w:w="0" w:type="auto"/>
            <w:vMerge w:val="restart"/>
            <w:vAlign w:val="center"/>
          </w:tcPr>
          <w:p w14:paraId="203A9F2C">
            <w:pPr>
              <w:jc w:val="center"/>
              <w:rPr>
                <w:rFonts w:hint="eastAsia" w:ascii="宋体" w:hAnsi="宋体" w:cs="宋体"/>
                <w:bCs/>
                <w:color w:val="auto"/>
                <w:szCs w:val="21"/>
                <w:highlight w:val="none"/>
              </w:rPr>
            </w:pPr>
            <w:r>
              <w:rPr>
                <w:rFonts w:hint="eastAsia" w:ascii="宋体" w:hAnsi="宋体" w:cs="宋体"/>
                <w:bCs/>
                <w:color w:val="auto"/>
                <w:szCs w:val="21"/>
                <w:highlight w:val="none"/>
              </w:rPr>
              <w:t>1</w:t>
            </w:r>
          </w:p>
        </w:tc>
      </w:tr>
      <w:tr w14:paraId="3F7DE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jc w:val="center"/>
        </w:trPr>
        <w:tc>
          <w:tcPr>
            <w:tcW w:w="0" w:type="auto"/>
            <w:vMerge w:val="continue"/>
            <w:vAlign w:val="center"/>
          </w:tcPr>
          <w:p w14:paraId="05928C32">
            <w:pPr>
              <w:jc w:val="center"/>
              <w:rPr>
                <w:rFonts w:hint="eastAsia" w:ascii="宋体" w:hAnsi="宋体" w:cs="宋体"/>
                <w:bCs/>
                <w:color w:val="auto"/>
                <w:szCs w:val="21"/>
                <w:highlight w:val="none"/>
              </w:rPr>
            </w:pPr>
          </w:p>
        </w:tc>
        <w:tc>
          <w:tcPr>
            <w:tcW w:w="0" w:type="auto"/>
          </w:tcPr>
          <w:p w14:paraId="62191CC6">
            <w:pPr>
              <w:rPr>
                <w:rFonts w:hint="eastAsia" w:ascii="宋体" w:hAnsi="宋体" w:cs="宋体"/>
                <w:bCs/>
                <w:color w:val="auto"/>
                <w:szCs w:val="21"/>
                <w:highlight w:val="none"/>
              </w:rPr>
            </w:pPr>
            <w:r>
              <w:rPr>
                <w:rFonts w:hint="eastAsia" w:ascii="宋体" w:hAnsi="宋体" w:cs="宋体"/>
                <w:bCs/>
                <w:color w:val="auto"/>
                <w:szCs w:val="21"/>
                <w:highlight w:val="none"/>
              </w:rPr>
              <w:t>1.洗衣房布局合理；接收污染的医用衣物与发放洗涤消毒后的医用衣物分区管理</w:t>
            </w:r>
          </w:p>
        </w:tc>
        <w:tc>
          <w:tcPr>
            <w:tcW w:w="0" w:type="auto"/>
            <w:vMerge w:val="continue"/>
            <w:vAlign w:val="center"/>
          </w:tcPr>
          <w:p w14:paraId="7871C41F">
            <w:pPr>
              <w:jc w:val="center"/>
              <w:rPr>
                <w:rFonts w:hint="eastAsia" w:ascii="宋体" w:hAnsi="宋体" w:cs="宋体"/>
                <w:bCs/>
                <w:color w:val="auto"/>
                <w:szCs w:val="21"/>
                <w:highlight w:val="none"/>
              </w:rPr>
            </w:pPr>
          </w:p>
        </w:tc>
      </w:tr>
      <w:tr w14:paraId="033A8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0" w:type="auto"/>
            <w:vMerge w:val="continue"/>
            <w:vAlign w:val="center"/>
          </w:tcPr>
          <w:p w14:paraId="5BB5E8D6">
            <w:pPr>
              <w:jc w:val="center"/>
              <w:rPr>
                <w:rFonts w:hint="eastAsia" w:ascii="宋体" w:hAnsi="宋体" w:cs="宋体"/>
                <w:bCs/>
                <w:color w:val="auto"/>
                <w:szCs w:val="21"/>
                <w:highlight w:val="none"/>
              </w:rPr>
            </w:pPr>
          </w:p>
        </w:tc>
        <w:tc>
          <w:tcPr>
            <w:tcW w:w="0" w:type="auto"/>
          </w:tcPr>
          <w:p w14:paraId="6CB23DFE">
            <w:pPr>
              <w:rPr>
                <w:rFonts w:hint="eastAsia" w:ascii="宋体" w:hAnsi="宋体" w:cs="宋体"/>
                <w:bCs/>
                <w:color w:val="auto"/>
                <w:szCs w:val="21"/>
                <w:highlight w:val="none"/>
              </w:rPr>
            </w:pPr>
            <w:r>
              <w:rPr>
                <w:rFonts w:hint="eastAsia" w:ascii="宋体" w:hAnsi="宋体" w:cs="宋体"/>
                <w:bCs/>
                <w:color w:val="auto"/>
                <w:szCs w:val="21"/>
                <w:highlight w:val="none"/>
              </w:rPr>
              <w:t>2.收集人员严禁在病区内进行清点与清理，应尽量减少对污染衣物的抖动行为，防止衣物上病原微生物向周围环境扩散；运送污染衣物的容器使用后立即消毒</w:t>
            </w:r>
          </w:p>
        </w:tc>
        <w:tc>
          <w:tcPr>
            <w:tcW w:w="0" w:type="auto"/>
            <w:vMerge w:val="continue"/>
            <w:vAlign w:val="center"/>
          </w:tcPr>
          <w:p w14:paraId="0D013AD4">
            <w:pPr>
              <w:jc w:val="center"/>
              <w:rPr>
                <w:rFonts w:hint="eastAsia" w:ascii="宋体" w:hAnsi="宋体" w:cs="宋体"/>
                <w:bCs/>
                <w:color w:val="auto"/>
                <w:szCs w:val="21"/>
                <w:highlight w:val="none"/>
              </w:rPr>
            </w:pPr>
          </w:p>
        </w:tc>
      </w:tr>
      <w:tr w14:paraId="79E3C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 w:hRule="atLeast"/>
          <w:jc w:val="center"/>
        </w:trPr>
        <w:tc>
          <w:tcPr>
            <w:tcW w:w="0" w:type="auto"/>
            <w:vMerge w:val="continue"/>
            <w:vAlign w:val="center"/>
          </w:tcPr>
          <w:p w14:paraId="78361190">
            <w:pPr>
              <w:jc w:val="center"/>
              <w:rPr>
                <w:rFonts w:hint="eastAsia" w:ascii="宋体" w:hAnsi="宋体" w:cs="宋体"/>
                <w:bCs/>
                <w:color w:val="auto"/>
                <w:szCs w:val="21"/>
                <w:highlight w:val="none"/>
              </w:rPr>
            </w:pPr>
          </w:p>
        </w:tc>
        <w:tc>
          <w:tcPr>
            <w:tcW w:w="0" w:type="auto"/>
            <w:vAlign w:val="center"/>
          </w:tcPr>
          <w:p w14:paraId="4D4CB886">
            <w:pPr>
              <w:rPr>
                <w:rFonts w:hint="eastAsia" w:ascii="宋体" w:hAnsi="宋体" w:cs="宋体"/>
                <w:bCs/>
                <w:color w:val="auto"/>
                <w:szCs w:val="21"/>
                <w:highlight w:val="none"/>
              </w:rPr>
            </w:pPr>
            <w:r>
              <w:rPr>
                <w:rFonts w:hint="eastAsia" w:ascii="宋体" w:hAnsi="宋体" w:cs="宋体"/>
                <w:bCs/>
                <w:color w:val="auto"/>
                <w:szCs w:val="21"/>
                <w:highlight w:val="none"/>
              </w:rPr>
              <w:t>（七）食堂</w:t>
            </w:r>
          </w:p>
        </w:tc>
        <w:tc>
          <w:tcPr>
            <w:tcW w:w="0" w:type="auto"/>
            <w:vMerge w:val="restart"/>
            <w:vAlign w:val="center"/>
          </w:tcPr>
          <w:p w14:paraId="134FDD26">
            <w:pPr>
              <w:jc w:val="center"/>
              <w:rPr>
                <w:rFonts w:hint="eastAsia" w:ascii="宋体" w:hAnsi="宋体" w:cs="宋体"/>
                <w:bCs/>
                <w:color w:val="auto"/>
                <w:szCs w:val="21"/>
                <w:highlight w:val="none"/>
              </w:rPr>
            </w:pPr>
            <w:r>
              <w:rPr>
                <w:rFonts w:hint="eastAsia" w:ascii="宋体" w:hAnsi="宋体" w:cs="宋体"/>
                <w:bCs/>
                <w:color w:val="auto"/>
                <w:szCs w:val="21"/>
                <w:highlight w:val="none"/>
              </w:rPr>
              <w:t>3</w:t>
            </w:r>
          </w:p>
        </w:tc>
      </w:tr>
      <w:tr w14:paraId="5E4FC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0" w:type="auto"/>
            <w:vMerge w:val="continue"/>
            <w:vAlign w:val="center"/>
          </w:tcPr>
          <w:p w14:paraId="32538748">
            <w:pPr>
              <w:jc w:val="center"/>
              <w:rPr>
                <w:rFonts w:hint="eastAsia" w:ascii="宋体" w:hAnsi="宋体" w:cs="宋体"/>
                <w:bCs/>
                <w:color w:val="auto"/>
                <w:szCs w:val="21"/>
                <w:highlight w:val="none"/>
              </w:rPr>
            </w:pPr>
          </w:p>
        </w:tc>
        <w:tc>
          <w:tcPr>
            <w:tcW w:w="0" w:type="auto"/>
          </w:tcPr>
          <w:p w14:paraId="4979A182">
            <w:pPr>
              <w:rPr>
                <w:rFonts w:hint="eastAsia" w:ascii="宋体" w:hAnsi="宋体" w:cs="宋体"/>
                <w:bCs/>
                <w:color w:val="auto"/>
                <w:szCs w:val="21"/>
                <w:highlight w:val="none"/>
              </w:rPr>
            </w:pPr>
            <w:r>
              <w:rPr>
                <w:rFonts w:hint="eastAsia" w:ascii="宋体" w:hAnsi="宋体" w:cs="宋体"/>
                <w:bCs/>
                <w:color w:val="auto"/>
                <w:szCs w:val="21"/>
                <w:highlight w:val="none"/>
              </w:rPr>
              <w:t>1.室内通风，保持清洁、干燥，防交叉感染；每周大扫除一次，消灭蟑螂、苍蝇、老鼠等传播媒介物；售菜间等做好日常紫外线消毒工作并记录</w:t>
            </w:r>
          </w:p>
        </w:tc>
        <w:tc>
          <w:tcPr>
            <w:tcW w:w="0" w:type="auto"/>
            <w:vMerge w:val="continue"/>
            <w:vAlign w:val="center"/>
          </w:tcPr>
          <w:p w14:paraId="5A35D596">
            <w:pPr>
              <w:jc w:val="center"/>
              <w:rPr>
                <w:rFonts w:hint="eastAsia" w:ascii="宋体" w:hAnsi="宋体" w:cs="宋体"/>
                <w:bCs/>
                <w:color w:val="auto"/>
                <w:szCs w:val="21"/>
                <w:highlight w:val="none"/>
              </w:rPr>
            </w:pPr>
          </w:p>
        </w:tc>
      </w:tr>
      <w:tr w14:paraId="4AC83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67" w:hRule="atLeast"/>
          <w:jc w:val="center"/>
        </w:trPr>
        <w:tc>
          <w:tcPr>
            <w:tcW w:w="0" w:type="auto"/>
            <w:vMerge w:val="continue"/>
            <w:vAlign w:val="center"/>
          </w:tcPr>
          <w:p w14:paraId="34C97A15">
            <w:pPr>
              <w:jc w:val="center"/>
              <w:rPr>
                <w:rFonts w:hint="eastAsia" w:ascii="宋体" w:hAnsi="宋体" w:cs="宋体"/>
                <w:bCs/>
                <w:color w:val="auto"/>
                <w:szCs w:val="21"/>
                <w:highlight w:val="none"/>
              </w:rPr>
            </w:pPr>
          </w:p>
        </w:tc>
        <w:tc>
          <w:tcPr>
            <w:tcW w:w="0" w:type="auto"/>
          </w:tcPr>
          <w:p w14:paraId="305D5777">
            <w:pPr>
              <w:rPr>
                <w:rFonts w:hint="eastAsia" w:ascii="宋体" w:hAnsi="宋体" w:cs="宋体"/>
                <w:bCs/>
                <w:color w:val="auto"/>
                <w:szCs w:val="21"/>
                <w:highlight w:val="none"/>
              </w:rPr>
            </w:pPr>
            <w:r>
              <w:rPr>
                <w:rFonts w:hint="eastAsia" w:ascii="宋体" w:hAnsi="宋体" w:cs="宋体"/>
                <w:bCs/>
                <w:color w:val="auto"/>
                <w:szCs w:val="21"/>
                <w:highlight w:val="none"/>
              </w:rPr>
              <w:t>2.门、窗、桌、椅、地面每日擦拭或清洁，餐具用后放入橱柜内，拖布抹布按规定消毒及放置</w:t>
            </w:r>
          </w:p>
        </w:tc>
        <w:tc>
          <w:tcPr>
            <w:tcW w:w="0" w:type="auto"/>
            <w:vMerge w:val="continue"/>
            <w:vAlign w:val="center"/>
          </w:tcPr>
          <w:p w14:paraId="07F12FEC">
            <w:pPr>
              <w:jc w:val="center"/>
              <w:rPr>
                <w:rFonts w:hint="eastAsia" w:ascii="宋体" w:hAnsi="宋体" w:cs="宋体"/>
                <w:bCs/>
                <w:color w:val="auto"/>
                <w:szCs w:val="21"/>
                <w:highlight w:val="none"/>
              </w:rPr>
            </w:pPr>
          </w:p>
        </w:tc>
      </w:tr>
      <w:tr w14:paraId="20F86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 w:hRule="atLeast"/>
          <w:jc w:val="center"/>
        </w:trPr>
        <w:tc>
          <w:tcPr>
            <w:tcW w:w="0" w:type="auto"/>
            <w:vMerge w:val="continue"/>
            <w:vAlign w:val="center"/>
          </w:tcPr>
          <w:p w14:paraId="7D66A329">
            <w:pPr>
              <w:jc w:val="center"/>
              <w:rPr>
                <w:rFonts w:hint="eastAsia" w:ascii="宋体" w:hAnsi="宋体" w:cs="宋体"/>
                <w:bCs/>
                <w:color w:val="auto"/>
                <w:szCs w:val="21"/>
                <w:highlight w:val="none"/>
              </w:rPr>
            </w:pPr>
          </w:p>
        </w:tc>
        <w:tc>
          <w:tcPr>
            <w:tcW w:w="0" w:type="auto"/>
          </w:tcPr>
          <w:p w14:paraId="658E672F">
            <w:pPr>
              <w:rPr>
                <w:rFonts w:hint="eastAsia" w:ascii="宋体" w:hAnsi="宋体" w:cs="宋体"/>
                <w:bCs/>
                <w:color w:val="auto"/>
                <w:szCs w:val="21"/>
                <w:highlight w:val="none"/>
              </w:rPr>
            </w:pPr>
            <w:r>
              <w:rPr>
                <w:rFonts w:hint="eastAsia" w:ascii="宋体" w:hAnsi="宋体" w:cs="宋体"/>
                <w:bCs/>
                <w:color w:val="auto"/>
                <w:szCs w:val="21"/>
                <w:highlight w:val="none"/>
              </w:rPr>
              <w:t>3.餐具清洗消毒到位，定期接受卫监部门检测，结果需符合GB 14934-2016食品安全国家标准消毒餐（饮）具标准</w:t>
            </w:r>
          </w:p>
        </w:tc>
        <w:tc>
          <w:tcPr>
            <w:tcW w:w="0" w:type="auto"/>
            <w:vMerge w:val="continue"/>
            <w:vAlign w:val="center"/>
          </w:tcPr>
          <w:p w14:paraId="231969B1">
            <w:pPr>
              <w:jc w:val="center"/>
              <w:rPr>
                <w:rFonts w:hint="eastAsia" w:ascii="宋体" w:hAnsi="宋体" w:cs="宋体"/>
                <w:bCs/>
                <w:color w:val="auto"/>
                <w:szCs w:val="21"/>
                <w:highlight w:val="none"/>
              </w:rPr>
            </w:pPr>
          </w:p>
        </w:tc>
      </w:tr>
      <w:tr w14:paraId="76F0B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 w:hRule="atLeast"/>
          <w:jc w:val="center"/>
        </w:trPr>
        <w:tc>
          <w:tcPr>
            <w:tcW w:w="0" w:type="auto"/>
            <w:vMerge w:val="continue"/>
            <w:vAlign w:val="center"/>
          </w:tcPr>
          <w:p w14:paraId="74E857FC">
            <w:pPr>
              <w:jc w:val="center"/>
              <w:rPr>
                <w:rFonts w:hint="eastAsia" w:ascii="宋体" w:hAnsi="宋体" w:cs="宋体"/>
                <w:bCs/>
                <w:color w:val="auto"/>
                <w:szCs w:val="21"/>
                <w:highlight w:val="none"/>
              </w:rPr>
            </w:pPr>
          </w:p>
        </w:tc>
        <w:tc>
          <w:tcPr>
            <w:tcW w:w="0" w:type="auto"/>
          </w:tcPr>
          <w:p w14:paraId="108460ED">
            <w:pPr>
              <w:rPr>
                <w:rFonts w:hint="eastAsia" w:ascii="宋体" w:hAnsi="宋体" w:cs="宋体"/>
                <w:bCs/>
                <w:color w:val="auto"/>
                <w:szCs w:val="21"/>
                <w:highlight w:val="none"/>
              </w:rPr>
            </w:pPr>
            <w:r>
              <w:rPr>
                <w:rFonts w:hint="eastAsia" w:ascii="宋体" w:hAnsi="宋体" w:cs="宋体"/>
                <w:bCs/>
                <w:color w:val="auto"/>
                <w:szCs w:val="21"/>
                <w:highlight w:val="none"/>
              </w:rPr>
              <w:t>4.生、熟食品分开操作及存储，标识明确</w:t>
            </w:r>
          </w:p>
        </w:tc>
        <w:tc>
          <w:tcPr>
            <w:tcW w:w="0" w:type="auto"/>
            <w:vMerge w:val="continue"/>
            <w:vAlign w:val="center"/>
          </w:tcPr>
          <w:p w14:paraId="418719AC">
            <w:pPr>
              <w:jc w:val="center"/>
              <w:rPr>
                <w:rFonts w:hint="eastAsia" w:ascii="宋体" w:hAnsi="宋体" w:cs="宋体"/>
                <w:bCs/>
                <w:color w:val="auto"/>
                <w:szCs w:val="21"/>
                <w:highlight w:val="none"/>
              </w:rPr>
            </w:pPr>
          </w:p>
        </w:tc>
      </w:tr>
      <w:tr w14:paraId="6F1C7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99" w:hRule="atLeast"/>
          <w:jc w:val="center"/>
        </w:trPr>
        <w:tc>
          <w:tcPr>
            <w:tcW w:w="0" w:type="auto"/>
            <w:vMerge w:val="continue"/>
            <w:vAlign w:val="center"/>
          </w:tcPr>
          <w:p w14:paraId="0AAE2B3C">
            <w:pPr>
              <w:jc w:val="center"/>
              <w:rPr>
                <w:rFonts w:hint="eastAsia" w:ascii="宋体" w:hAnsi="宋体" w:cs="宋体"/>
                <w:bCs/>
                <w:color w:val="auto"/>
                <w:szCs w:val="21"/>
                <w:highlight w:val="none"/>
              </w:rPr>
            </w:pPr>
          </w:p>
        </w:tc>
        <w:tc>
          <w:tcPr>
            <w:tcW w:w="0" w:type="auto"/>
          </w:tcPr>
          <w:p w14:paraId="56BD4F39">
            <w:pPr>
              <w:rPr>
                <w:rFonts w:hint="eastAsia" w:ascii="宋体" w:hAnsi="宋体" w:cs="宋体"/>
                <w:bCs/>
                <w:color w:val="auto"/>
                <w:szCs w:val="21"/>
                <w:highlight w:val="none"/>
              </w:rPr>
            </w:pPr>
            <w:r>
              <w:rPr>
                <w:rFonts w:hint="eastAsia" w:ascii="宋体" w:hAnsi="宋体" w:cs="宋体"/>
                <w:bCs/>
                <w:color w:val="auto"/>
                <w:szCs w:val="21"/>
                <w:highlight w:val="none"/>
              </w:rPr>
              <w:t>5.食品原料在使用前必须洗净，蔬菜应当与肉类、水产品类分池清洗，禽蛋在使用前应当进行清洗，必要时进行消毒处理</w:t>
            </w:r>
          </w:p>
        </w:tc>
        <w:tc>
          <w:tcPr>
            <w:tcW w:w="0" w:type="auto"/>
            <w:vMerge w:val="continue"/>
            <w:vAlign w:val="center"/>
          </w:tcPr>
          <w:p w14:paraId="379520EA">
            <w:pPr>
              <w:jc w:val="center"/>
              <w:rPr>
                <w:rFonts w:hint="eastAsia" w:ascii="宋体" w:hAnsi="宋体" w:cs="宋体"/>
                <w:bCs/>
                <w:color w:val="auto"/>
                <w:szCs w:val="21"/>
                <w:highlight w:val="none"/>
              </w:rPr>
            </w:pPr>
          </w:p>
        </w:tc>
      </w:tr>
      <w:tr w14:paraId="13511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 w:hRule="atLeast"/>
          <w:jc w:val="center"/>
        </w:trPr>
        <w:tc>
          <w:tcPr>
            <w:tcW w:w="0" w:type="auto"/>
            <w:vMerge w:val="continue"/>
            <w:vAlign w:val="center"/>
          </w:tcPr>
          <w:p w14:paraId="321C1A21">
            <w:pPr>
              <w:jc w:val="center"/>
              <w:rPr>
                <w:rFonts w:hint="eastAsia" w:ascii="宋体" w:hAnsi="宋体" w:cs="宋体"/>
                <w:bCs/>
                <w:color w:val="auto"/>
                <w:szCs w:val="21"/>
                <w:highlight w:val="none"/>
              </w:rPr>
            </w:pPr>
          </w:p>
        </w:tc>
        <w:tc>
          <w:tcPr>
            <w:tcW w:w="0" w:type="auto"/>
          </w:tcPr>
          <w:p w14:paraId="7B233AD4">
            <w:pPr>
              <w:rPr>
                <w:rFonts w:hint="eastAsia" w:ascii="宋体" w:hAnsi="宋体" w:cs="宋体"/>
                <w:bCs/>
                <w:color w:val="auto"/>
                <w:szCs w:val="21"/>
                <w:highlight w:val="none"/>
              </w:rPr>
            </w:pPr>
            <w:r>
              <w:rPr>
                <w:rFonts w:hint="eastAsia" w:ascii="宋体" w:hAnsi="宋体" w:cs="宋体"/>
                <w:bCs/>
                <w:color w:val="auto"/>
                <w:szCs w:val="21"/>
                <w:highlight w:val="none"/>
              </w:rPr>
              <w:t>6.食品仓库内不得存放有害物质（杀虫剂、洗涤剂、消毒剂等），不得存放个人物品和杂物</w:t>
            </w:r>
          </w:p>
        </w:tc>
        <w:tc>
          <w:tcPr>
            <w:tcW w:w="0" w:type="auto"/>
            <w:vMerge w:val="continue"/>
            <w:vAlign w:val="center"/>
          </w:tcPr>
          <w:p w14:paraId="1194C4DD">
            <w:pPr>
              <w:jc w:val="center"/>
              <w:rPr>
                <w:rFonts w:hint="eastAsia" w:ascii="宋体" w:hAnsi="宋体" w:cs="宋体"/>
                <w:bCs/>
                <w:color w:val="auto"/>
                <w:szCs w:val="21"/>
                <w:highlight w:val="none"/>
              </w:rPr>
            </w:pPr>
          </w:p>
        </w:tc>
      </w:tr>
      <w:tr w14:paraId="35A7F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0" w:type="auto"/>
            <w:vMerge w:val="continue"/>
            <w:vAlign w:val="center"/>
          </w:tcPr>
          <w:p w14:paraId="28004860">
            <w:pPr>
              <w:jc w:val="center"/>
              <w:rPr>
                <w:rFonts w:hint="eastAsia" w:ascii="宋体" w:hAnsi="宋体" w:cs="宋体"/>
                <w:bCs/>
                <w:color w:val="auto"/>
                <w:szCs w:val="21"/>
                <w:highlight w:val="none"/>
              </w:rPr>
            </w:pPr>
          </w:p>
        </w:tc>
        <w:tc>
          <w:tcPr>
            <w:tcW w:w="0" w:type="auto"/>
          </w:tcPr>
          <w:p w14:paraId="2DE541CD">
            <w:pPr>
              <w:rPr>
                <w:rFonts w:hint="eastAsia" w:ascii="宋体" w:hAnsi="宋体" w:cs="宋体"/>
                <w:bCs/>
                <w:color w:val="auto"/>
                <w:szCs w:val="21"/>
                <w:highlight w:val="none"/>
              </w:rPr>
            </w:pPr>
            <w:r>
              <w:rPr>
                <w:rFonts w:hint="eastAsia" w:ascii="宋体" w:hAnsi="宋体" w:cs="宋体"/>
                <w:bCs/>
                <w:color w:val="auto"/>
                <w:szCs w:val="21"/>
                <w:highlight w:val="none"/>
              </w:rPr>
              <w:t>7.冰箱保持整洁，不得出现霉点，食品不可长期放置其中</w:t>
            </w:r>
          </w:p>
        </w:tc>
        <w:tc>
          <w:tcPr>
            <w:tcW w:w="0" w:type="auto"/>
            <w:vMerge w:val="continue"/>
            <w:vAlign w:val="center"/>
          </w:tcPr>
          <w:p w14:paraId="4F1A0E6B">
            <w:pPr>
              <w:jc w:val="center"/>
              <w:rPr>
                <w:rFonts w:hint="eastAsia" w:ascii="宋体" w:hAnsi="宋体" w:cs="宋体"/>
                <w:bCs/>
                <w:color w:val="auto"/>
                <w:szCs w:val="21"/>
                <w:highlight w:val="none"/>
              </w:rPr>
            </w:pPr>
          </w:p>
        </w:tc>
      </w:tr>
      <w:tr w14:paraId="245BC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 w:hRule="atLeast"/>
          <w:jc w:val="center"/>
        </w:trPr>
        <w:tc>
          <w:tcPr>
            <w:tcW w:w="0" w:type="auto"/>
            <w:vMerge w:val="continue"/>
            <w:vAlign w:val="center"/>
          </w:tcPr>
          <w:p w14:paraId="08422CB0">
            <w:pPr>
              <w:jc w:val="center"/>
              <w:rPr>
                <w:rFonts w:hint="eastAsia" w:ascii="宋体" w:hAnsi="宋体" w:cs="宋体"/>
                <w:bCs/>
                <w:color w:val="auto"/>
                <w:szCs w:val="21"/>
                <w:highlight w:val="none"/>
              </w:rPr>
            </w:pPr>
          </w:p>
        </w:tc>
        <w:tc>
          <w:tcPr>
            <w:tcW w:w="0" w:type="auto"/>
          </w:tcPr>
          <w:p w14:paraId="6DB91F25">
            <w:pPr>
              <w:rPr>
                <w:rFonts w:hint="eastAsia" w:ascii="宋体" w:hAnsi="宋体" w:cs="宋体"/>
                <w:bCs/>
                <w:color w:val="auto"/>
                <w:szCs w:val="21"/>
                <w:highlight w:val="none"/>
              </w:rPr>
            </w:pPr>
            <w:r>
              <w:rPr>
                <w:rFonts w:hint="eastAsia" w:ascii="宋体" w:hAnsi="宋体" w:cs="宋体"/>
                <w:bCs/>
                <w:color w:val="auto"/>
                <w:szCs w:val="21"/>
                <w:highlight w:val="none"/>
              </w:rPr>
              <w:t>8.食堂人员个人卫生必须做到：勤洗手、勤剪指甲、勤洗澡、勤换工作服</w:t>
            </w:r>
          </w:p>
        </w:tc>
        <w:tc>
          <w:tcPr>
            <w:tcW w:w="0" w:type="auto"/>
            <w:vMerge w:val="continue"/>
            <w:vAlign w:val="center"/>
          </w:tcPr>
          <w:p w14:paraId="71ECCC05">
            <w:pPr>
              <w:jc w:val="center"/>
              <w:rPr>
                <w:rFonts w:hint="eastAsia" w:ascii="宋体" w:hAnsi="宋体" w:cs="宋体"/>
                <w:bCs/>
                <w:color w:val="auto"/>
                <w:szCs w:val="21"/>
                <w:highlight w:val="none"/>
              </w:rPr>
            </w:pPr>
          </w:p>
        </w:tc>
      </w:tr>
      <w:tr w14:paraId="33D55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 w:hRule="atLeast"/>
          <w:jc w:val="center"/>
        </w:trPr>
        <w:tc>
          <w:tcPr>
            <w:tcW w:w="0" w:type="auto"/>
            <w:vMerge w:val="continue"/>
            <w:vAlign w:val="center"/>
          </w:tcPr>
          <w:p w14:paraId="6FCD2353">
            <w:pPr>
              <w:jc w:val="center"/>
              <w:rPr>
                <w:rFonts w:hint="eastAsia" w:ascii="宋体" w:hAnsi="宋体" w:cs="宋体"/>
                <w:bCs/>
                <w:color w:val="auto"/>
                <w:szCs w:val="21"/>
                <w:highlight w:val="none"/>
              </w:rPr>
            </w:pPr>
          </w:p>
        </w:tc>
        <w:tc>
          <w:tcPr>
            <w:tcW w:w="0" w:type="auto"/>
          </w:tcPr>
          <w:p w14:paraId="2BD11599">
            <w:pPr>
              <w:rPr>
                <w:rFonts w:hint="eastAsia" w:ascii="宋体" w:hAnsi="宋体" w:cs="宋体"/>
                <w:bCs/>
                <w:color w:val="auto"/>
                <w:szCs w:val="21"/>
                <w:highlight w:val="none"/>
              </w:rPr>
            </w:pPr>
            <w:r>
              <w:rPr>
                <w:rFonts w:hint="eastAsia" w:ascii="宋体" w:hAnsi="宋体" w:cs="宋体"/>
                <w:bCs/>
                <w:color w:val="auto"/>
                <w:szCs w:val="21"/>
                <w:highlight w:val="none"/>
              </w:rPr>
              <w:t>9.食堂人员售菜前洗手，穿戴整齐，必须戴口罩并使用售菜工具</w:t>
            </w:r>
          </w:p>
        </w:tc>
        <w:tc>
          <w:tcPr>
            <w:tcW w:w="0" w:type="auto"/>
            <w:vMerge w:val="continue"/>
            <w:vAlign w:val="center"/>
          </w:tcPr>
          <w:p w14:paraId="0F365E89">
            <w:pPr>
              <w:jc w:val="center"/>
              <w:rPr>
                <w:rFonts w:hint="eastAsia" w:ascii="宋体" w:hAnsi="宋体" w:cs="宋体"/>
                <w:bCs/>
                <w:color w:val="auto"/>
                <w:szCs w:val="21"/>
                <w:highlight w:val="none"/>
              </w:rPr>
            </w:pPr>
          </w:p>
        </w:tc>
      </w:tr>
      <w:tr w14:paraId="78177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 w:hRule="atLeast"/>
          <w:jc w:val="center"/>
        </w:trPr>
        <w:tc>
          <w:tcPr>
            <w:tcW w:w="0" w:type="auto"/>
            <w:vMerge w:val="continue"/>
            <w:vAlign w:val="center"/>
          </w:tcPr>
          <w:p w14:paraId="1AE9AC1B">
            <w:pPr>
              <w:jc w:val="center"/>
              <w:rPr>
                <w:rFonts w:hint="eastAsia" w:ascii="宋体" w:hAnsi="宋体" w:cs="宋体"/>
                <w:bCs/>
                <w:color w:val="auto"/>
                <w:szCs w:val="21"/>
                <w:highlight w:val="none"/>
              </w:rPr>
            </w:pPr>
          </w:p>
        </w:tc>
        <w:tc>
          <w:tcPr>
            <w:tcW w:w="0" w:type="auto"/>
          </w:tcPr>
          <w:p w14:paraId="117C4AF3">
            <w:pPr>
              <w:rPr>
                <w:rFonts w:hint="eastAsia" w:ascii="宋体" w:hAnsi="宋体" w:cs="宋体"/>
                <w:bCs/>
                <w:color w:val="auto"/>
                <w:szCs w:val="21"/>
                <w:highlight w:val="none"/>
              </w:rPr>
            </w:pPr>
            <w:r>
              <w:rPr>
                <w:rFonts w:hint="eastAsia" w:ascii="宋体" w:hAnsi="宋体" w:cs="宋体"/>
                <w:bCs/>
                <w:color w:val="auto"/>
                <w:szCs w:val="21"/>
                <w:highlight w:val="none"/>
              </w:rPr>
              <w:t>（八）垃圾分类</w:t>
            </w:r>
          </w:p>
        </w:tc>
        <w:tc>
          <w:tcPr>
            <w:tcW w:w="0" w:type="auto"/>
            <w:vMerge w:val="restart"/>
            <w:vAlign w:val="center"/>
          </w:tcPr>
          <w:p w14:paraId="6853F629">
            <w:pPr>
              <w:jc w:val="center"/>
              <w:rPr>
                <w:rFonts w:hint="eastAsia" w:ascii="宋体" w:hAnsi="宋体" w:cs="宋体"/>
                <w:bCs/>
                <w:color w:val="auto"/>
                <w:szCs w:val="21"/>
                <w:highlight w:val="none"/>
              </w:rPr>
            </w:pPr>
            <w:r>
              <w:rPr>
                <w:rFonts w:hint="eastAsia" w:ascii="宋体" w:hAnsi="宋体" w:cs="宋体"/>
                <w:bCs/>
                <w:color w:val="auto"/>
                <w:szCs w:val="21"/>
                <w:highlight w:val="none"/>
              </w:rPr>
              <w:t>2</w:t>
            </w:r>
          </w:p>
        </w:tc>
      </w:tr>
      <w:tr w14:paraId="34446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 w:hRule="atLeast"/>
          <w:jc w:val="center"/>
        </w:trPr>
        <w:tc>
          <w:tcPr>
            <w:tcW w:w="0" w:type="auto"/>
            <w:vMerge w:val="continue"/>
            <w:vAlign w:val="center"/>
          </w:tcPr>
          <w:p w14:paraId="3663E668">
            <w:pPr>
              <w:jc w:val="center"/>
              <w:rPr>
                <w:rFonts w:hint="eastAsia" w:ascii="宋体" w:hAnsi="宋体" w:cs="宋体"/>
                <w:bCs/>
                <w:color w:val="auto"/>
                <w:szCs w:val="21"/>
                <w:highlight w:val="none"/>
              </w:rPr>
            </w:pPr>
          </w:p>
        </w:tc>
        <w:tc>
          <w:tcPr>
            <w:tcW w:w="0" w:type="auto"/>
          </w:tcPr>
          <w:p w14:paraId="318AE87E">
            <w:pPr>
              <w:rPr>
                <w:rFonts w:hint="eastAsia" w:ascii="宋体" w:hAnsi="宋体" w:cs="宋体"/>
                <w:bCs/>
                <w:color w:val="auto"/>
                <w:szCs w:val="21"/>
                <w:highlight w:val="none"/>
              </w:rPr>
            </w:pPr>
            <w:r>
              <w:rPr>
                <w:rFonts w:hint="eastAsia" w:ascii="宋体" w:hAnsi="宋体" w:cs="宋体"/>
                <w:bCs/>
                <w:color w:val="auto"/>
                <w:szCs w:val="21"/>
                <w:highlight w:val="none"/>
              </w:rPr>
              <w:t>1.每天两次对所有垃圾桶进行垃圾袋更换，保持垃圾桶整洁</w:t>
            </w:r>
          </w:p>
        </w:tc>
        <w:tc>
          <w:tcPr>
            <w:tcW w:w="0" w:type="auto"/>
            <w:vMerge w:val="continue"/>
            <w:vAlign w:val="center"/>
          </w:tcPr>
          <w:p w14:paraId="3905F2E7">
            <w:pPr>
              <w:jc w:val="center"/>
              <w:rPr>
                <w:rFonts w:hint="eastAsia" w:ascii="宋体" w:hAnsi="宋体" w:cs="宋体"/>
                <w:bCs/>
                <w:color w:val="auto"/>
                <w:szCs w:val="21"/>
                <w:highlight w:val="none"/>
              </w:rPr>
            </w:pPr>
          </w:p>
        </w:tc>
      </w:tr>
      <w:tr w14:paraId="53365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 w:hRule="atLeast"/>
          <w:jc w:val="center"/>
        </w:trPr>
        <w:tc>
          <w:tcPr>
            <w:tcW w:w="0" w:type="auto"/>
            <w:vMerge w:val="continue"/>
            <w:vAlign w:val="center"/>
          </w:tcPr>
          <w:p w14:paraId="40050E87">
            <w:pPr>
              <w:jc w:val="center"/>
              <w:rPr>
                <w:rFonts w:hint="eastAsia" w:ascii="宋体" w:hAnsi="宋体" w:cs="宋体"/>
                <w:bCs/>
                <w:color w:val="auto"/>
                <w:szCs w:val="21"/>
                <w:highlight w:val="none"/>
              </w:rPr>
            </w:pPr>
          </w:p>
        </w:tc>
        <w:tc>
          <w:tcPr>
            <w:tcW w:w="0" w:type="auto"/>
          </w:tcPr>
          <w:p w14:paraId="1D0B1874">
            <w:pPr>
              <w:rPr>
                <w:rFonts w:hint="eastAsia" w:ascii="宋体" w:hAnsi="宋体" w:cs="宋体"/>
                <w:bCs/>
                <w:color w:val="auto"/>
                <w:szCs w:val="21"/>
                <w:highlight w:val="none"/>
              </w:rPr>
            </w:pPr>
            <w:r>
              <w:rPr>
                <w:rFonts w:hint="eastAsia" w:ascii="宋体" w:hAnsi="宋体" w:cs="宋体"/>
                <w:bCs/>
                <w:color w:val="auto"/>
                <w:szCs w:val="21"/>
                <w:highlight w:val="none"/>
              </w:rPr>
              <w:t>2.定期对垃圾桶进行消杀，保持垃圾桶内外干净、整洁</w:t>
            </w:r>
          </w:p>
        </w:tc>
        <w:tc>
          <w:tcPr>
            <w:tcW w:w="0" w:type="auto"/>
            <w:vMerge w:val="continue"/>
            <w:vAlign w:val="center"/>
          </w:tcPr>
          <w:p w14:paraId="4DB5D196">
            <w:pPr>
              <w:jc w:val="center"/>
              <w:rPr>
                <w:rFonts w:hint="eastAsia" w:ascii="宋体" w:hAnsi="宋体" w:cs="宋体"/>
                <w:bCs/>
                <w:color w:val="auto"/>
                <w:szCs w:val="21"/>
                <w:highlight w:val="none"/>
              </w:rPr>
            </w:pPr>
          </w:p>
        </w:tc>
      </w:tr>
      <w:tr w14:paraId="2E3B3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 w:hRule="atLeast"/>
          <w:jc w:val="center"/>
        </w:trPr>
        <w:tc>
          <w:tcPr>
            <w:tcW w:w="0" w:type="auto"/>
            <w:vMerge w:val="continue"/>
            <w:vAlign w:val="center"/>
          </w:tcPr>
          <w:p w14:paraId="65D69022">
            <w:pPr>
              <w:jc w:val="center"/>
              <w:rPr>
                <w:rFonts w:hint="eastAsia" w:ascii="宋体" w:hAnsi="宋体" w:cs="宋体"/>
                <w:bCs/>
                <w:color w:val="auto"/>
                <w:szCs w:val="21"/>
                <w:highlight w:val="none"/>
              </w:rPr>
            </w:pPr>
          </w:p>
        </w:tc>
        <w:tc>
          <w:tcPr>
            <w:tcW w:w="0" w:type="auto"/>
          </w:tcPr>
          <w:p w14:paraId="73644A6E">
            <w:pPr>
              <w:rPr>
                <w:rFonts w:hint="eastAsia" w:ascii="宋体" w:hAnsi="宋体" w:cs="宋体"/>
                <w:bCs/>
                <w:color w:val="auto"/>
                <w:szCs w:val="21"/>
                <w:highlight w:val="none"/>
              </w:rPr>
            </w:pPr>
            <w:r>
              <w:rPr>
                <w:rFonts w:hint="eastAsia" w:ascii="宋体" w:hAnsi="宋体" w:cs="宋体"/>
                <w:bCs/>
                <w:color w:val="auto"/>
                <w:szCs w:val="21"/>
                <w:highlight w:val="none"/>
              </w:rPr>
              <w:t>3.做好各类巡查、监督考核、投诉处理等日常台账工作。</w:t>
            </w:r>
          </w:p>
        </w:tc>
        <w:tc>
          <w:tcPr>
            <w:tcW w:w="0" w:type="auto"/>
            <w:vMerge w:val="continue"/>
            <w:vAlign w:val="center"/>
          </w:tcPr>
          <w:p w14:paraId="6988553F">
            <w:pPr>
              <w:jc w:val="center"/>
              <w:rPr>
                <w:rFonts w:hint="eastAsia" w:ascii="宋体" w:hAnsi="宋体" w:cs="宋体"/>
                <w:bCs/>
                <w:color w:val="auto"/>
                <w:szCs w:val="21"/>
                <w:highlight w:val="none"/>
              </w:rPr>
            </w:pPr>
          </w:p>
        </w:tc>
      </w:tr>
      <w:tr w14:paraId="38C4E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 w:hRule="atLeast"/>
          <w:jc w:val="center"/>
        </w:trPr>
        <w:tc>
          <w:tcPr>
            <w:tcW w:w="0" w:type="auto"/>
            <w:vMerge w:val="restart"/>
            <w:vAlign w:val="center"/>
          </w:tcPr>
          <w:p w14:paraId="300644DD">
            <w:pPr>
              <w:jc w:val="center"/>
              <w:rPr>
                <w:rFonts w:hint="eastAsia" w:ascii="宋体" w:hAnsi="宋体" w:cs="宋体"/>
                <w:bCs/>
                <w:color w:val="auto"/>
                <w:szCs w:val="21"/>
                <w:highlight w:val="none"/>
              </w:rPr>
            </w:pPr>
            <w:r>
              <w:rPr>
                <w:rFonts w:hint="eastAsia" w:ascii="宋体" w:hAnsi="宋体" w:cs="宋体"/>
                <w:bCs/>
                <w:color w:val="auto"/>
                <w:szCs w:val="21"/>
                <w:highlight w:val="none"/>
              </w:rPr>
              <w:t>F</w:t>
            </w:r>
          </w:p>
        </w:tc>
        <w:tc>
          <w:tcPr>
            <w:tcW w:w="0" w:type="auto"/>
            <w:shd w:val="clear" w:color="auto" w:fill="C0C0C0"/>
            <w:vAlign w:val="center"/>
          </w:tcPr>
          <w:p w14:paraId="7B8C9A4A">
            <w:pPr>
              <w:jc w:val="center"/>
              <w:rPr>
                <w:rFonts w:hint="eastAsia" w:ascii="宋体" w:hAnsi="宋体" w:cs="宋体"/>
                <w:bCs/>
                <w:color w:val="auto"/>
                <w:szCs w:val="21"/>
                <w:highlight w:val="none"/>
              </w:rPr>
            </w:pPr>
            <w:r>
              <w:rPr>
                <w:rFonts w:hint="eastAsia" w:ascii="宋体" w:hAnsi="宋体" w:cs="宋体"/>
                <w:bCs/>
                <w:color w:val="auto"/>
                <w:szCs w:val="21"/>
                <w:highlight w:val="none"/>
              </w:rPr>
              <w:t>加分内容</w:t>
            </w:r>
          </w:p>
        </w:tc>
        <w:tc>
          <w:tcPr>
            <w:tcW w:w="0" w:type="auto"/>
            <w:shd w:val="clear" w:color="auto" w:fill="C0C0C0"/>
            <w:vAlign w:val="center"/>
          </w:tcPr>
          <w:p w14:paraId="5C07F813">
            <w:pPr>
              <w:jc w:val="center"/>
              <w:rPr>
                <w:rFonts w:hint="eastAsia" w:ascii="宋体" w:hAnsi="宋体" w:cs="宋体"/>
                <w:bCs/>
                <w:color w:val="auto"/>
                <w:szCs w:val="21"/>
                <w:highlight w:val="none"/>
              </w:rPr>
            </w:pPr>
            <w:r>
              <w:rPr>
                <w:rFonts w:hint="eastAsia" w:ascii="宋体" w:hAnsi="宋体" w:cs="宋体"/>
                <w:bCs/>
                <w:color w:val="auto"/>
                <w:szCs w:val="21"/>
                <w:highlight w:val="none"/>
              </w:rPr>
              <w:t>10</w:t>
            </w:r>
          </w:p>
        </w:tc>
      </w:tr>
      <w:tr w14:paraId="07C21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 w:hRule="atLeast"/>
          <w:jc w:val="center"/>
        </w:trPr>
        <w:tc>
          <w:tcPr>
            <w:tcW w:w="0" w:type="auto"/>
            <w:vMerge w:val="continue"/>
            <w:vAlign w:val="center"/>
          </w:tcPr>
          <w:p w14:paraId="73D307F7">
            <w:pPr>
              <w:jc w:val="center"/>
              <w:rPr>
                <w:rFonts w:hint="eastAsia" w:ascii="宋体" w:hAnsi="宋体" w:cs="宋体"/>
                <w:bCs/>
                <w:color w:val="auto"/>
                <w:szCs w:val="21"/>
                <w:highlight w:val="none"/>
              </w:rPr>
            </w:pPr>
          </w:p>
        </w:tc>
        <w:tc>
          <w:tcPr>
            <w:tcW w:w="0" w:type="auto"/>
            <w:vAlign w:val="center"/>
          </w:tcPr>
          <w:p w14:paraId="01E57B02">
            <w:pPr>
              <w:rPr>
                <w:rFonts w:hint="eastAsia" w:ascii="宋体" w:hAnsi="宋体" w:cs="宋体"/>
                <w:bCs/>
                <w:color w:val="auto"/>
                <w:szCs w:val="21"/>
                <w:highlight w:val="none"/>
              </w:rPr>
            </w:pPr>
            <w:r>
              <w:rPr>
                <w:rFonts w:hint="eastAsia" w:ascii="宋体" w:hAnsi="宋体" w:cs="宋体"/>
                <w:bCs/>
                <w:color w:val="auto"/>
                <w:szCs w:val="21"/>
                <w:highlight w:val="none"/>
              </w:rPr>
              <w:t>1．受到住院患者、科室工作人员、院方书面表扬</w:t>
            </w:r>
          </w:p>
        </w:tc>
        <w:tc>
          <w:tcPr>
            <w:tcW w:w="0" w:type="auto"/>
            <w:vMerge w:val="restart"/>
            <w:vAlign w:val="center"/>
          </w:tcPr>
          <w:p w14:paraId="5BAC9AF8">
            <w:pPr>
              <w:jc w:val="center"/>
              <w:rPr>
                <w:rFonts w:hint="eastAsia" w:ascii="宋体" w:hAnsi="宋体" w:cs="宋体"/>
                <w:bCs/>
                <w:color w:val="auto"/>
                <w:szCs w:val="21"/>
                <w:highlight w:val="none"/>
              </w:rPr>
            </w:pPr>
          </w:p>
        </w:tc>
      </w:tr>
      <w:tr w14:paraId="6EE5F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0" w:type="auto"/>
            <w:vMerge w:val="continue"/>
            <w:vAlign w:val="center"/>
          </w:tcPr>
          <w:p w14:paraId="3B4BE93A">
            <w:pPr>
              <w:jc w:val="center"/>
              <w:rPr>
                <w:rFonts w:hint="eastAsia" w:ascii="宋体" w:hAnsi="宋体" w:cs="宋体"/>
                <w:bCs/>
                <w:color w:val="auto"/>
                <w:szCs w:val="21"/>
                <w:highlight w:val="none"/>
              </w:rPr>
            </w:pPr>
          </w:p>
        </w:tc>
        <w:tc>
          <w:tcPr>
            <w:tcW w:w="0" w:type="auto"/>
            <w:vAlign w:val="center"/>
          </w:tcPr>
          <w:p w14:paraId="6A3F292A">
            <w:pPr>
              <w:rPr>
                <w:rFonts w:hint="eastAsia" w:ascii="宋体" w:hAnsi="宋体" w:cs="宋体"/>
                <w:bCs/>
                <w:color w:val="auto"/>
                <w:szCs w:val="21"/>
                <w:highlight w:val="none"/>
              </w:rPr>
            </w:pPr>
            <w:r>
              <w:rPr>
                <w:rFonts w:hint="eastAsia" w:ascii="宋体" w:hAnsi="宋体" w:cs="宋体"/>
                <w:bCs/>
                <w:color w:val="auto"/>
                <w:szCs w:val="21"/>
                <w:highlight w:val="none"/>
              </w:rPr>
              <w:t>2．受到新闻媒体、行业协会、行政主管部门等表扬。</w:t>
            </w:r>
          </w:p>
        </w:tc>
        <w:tc>
          <w:tcPr>
            <w:tcW w:w="0" w:type="auto"/>
            <w:vMerge w:val="continue"/>
            <w:vAlign w:val="center"/>
          </w:tcPr>
          <w:p w14:paraId="141B1AF5">
            <w:pPr>
              <w:rPr>
                <w:rFonts w:hint="eastAsia" w:ascii="宋体" w:hAnsi="宋体" w:cs="宋体"/>
                <w:bCs/>
                <w:color w:val="auto"/>
                <w:szCs w:val="21"/>
                <w:highlight w:val="none"/>
              </w:rPr>
            </w:pPr>
          </w:p>
        </w:tc>
      </w:tr>
      <w:tr w14:paraId="0A3A4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0" w:type="auto"/>
            <w:vMerge w:val="continue"/>
            <w:vAlign w:val="center"/>
          </w:tcPr>
          <w:p w14:paraId="070E00E8">
            <w:pPr>
              <w:jc w:val="center"/>
              <w:rPr>
                <w:rFonts w:hint="eastAsia" w:ascii="宋体" w:hAnsi="宋体" w:cs="宋体"/>
                <w:bCs/>
                <w:color w:val="auto"/>
                <w:szCs w:val="21"/>
                <w:highlight w:val="none"/>
              </w:rPr>
            </w:pPr>
          </w:p>
        </w:tc>
        <w:tc>
          <w:tcPr>
            <w:tcW w:w="0" w:type="auto"/>
            <w:vAlign w:val="center"/>
          </w:tcPr>
          <w:p w14:paraId="3F4573DC">
            <w:pPr>
              <w:rPr>
                <w:rFonts w:hint="eastAsia" w:ascii="宋体" w:hAnsi="宋体" w:cs="宋体"/>
                <w:bCs/>
                <w:color w:val="auto"/>
                <w:szCs w:val="21"/>
                <w:highlight w:val="none"/>
              </w:rPr>
            </w:pPr>
            <w:r>
              <w:rPr>
                <w:rFonts w:hint="eastAsia" w:ascii="宋体" w:hAnsi="宋体" w:cs="宋体"/>
                <w:bCs/>
                <w:color w:val="auto"/>
                <w:szCs w:val="21"/>
                <w:highlight w:val="none"/>
              </w:rPr>
              <w:t>3．协助院方评为国家、省、市先进或同等奖项</w:t>
            </w:r>
          </w:p>
        </w:tc>
        <w:tc>
          <w:tcPr>
            <w:tcW w:w="0" w:type="auto"/>
            <w:vMerge w:val="continue"/>
            <w:vAlign w:val="center"/>
          </w:tcPr>
          <w:p w14:paraId="667AA5DF">
            <w:pPr>
              <w:rPr>
                <w:rFonts w:hint="eastAsia" w:ascii="宋体" w:hAnsi="宋体" w:cs="宋体"/>
                <w:bCs/>
                <w:color w:val="auto"/>
                <w:szCs w:val="21"/>
                <w:highlight w:val="none"/>
              </w:rPr>
            </w:pPr>
          </w:p>
        </w:tc>
      </w:tr>
      <w:tr w14:paraId="1A7F3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0" w:type="auto"/>
            <w:vMerge w:val="continue"/>
            <w:vAlign w:val="center"/>
          </w:tcPr>
          <w:p w14:paraId="797DD7D8">
            <w:pPr>
              <w:jc w:val="center"/>
              <w:rPr>
                <w:rFonts w:hint="eastAsia" w:ascii="宋体" w:hAnsi="宋体" w:cs="宋体"/>
                <w:bCs/>
                <w:color w:val="auto"/>
                <w:szCs w:val="21"/>
                <w:highlight w:val="none"/>
              </w:rPr>
            </w:pPr>
          </w:p>
        </w:tc>
        <w:tc>
          <w:tcPr>
            <w:tcW w:w="0" w:type="auto"/>
            <w:vAlign w:val="center"/>
          </w:tcPr>
          <w:p w14:paraId="6BCE62E4">
            <w:pPr>
              <w:rPr>
                <w:rFonts w:hint="eastAsia" w:ascii="宋体" w:hAnsi="宋体" w:cs="宋体"/>
                <w:bCs/>
                <w:color w:val="auto"/>
                <w:szCs w:val="21"/>
                <w:highlight w:val="none"/>
              </w:rPr>
            </w:pPr>
            <w:r>
              <w:rPr>
                <w:rFonts w:hint="eastAsia" w:ascii="宋体" w:hAnsi="宋体" w:cs="宋体"/>
                <w:bCs/>
                <w:color w:val="auto"/>
                <w:szCs w:val="21"/>
                <w:highlight w:val="none"/>
              </w:rPr>
              <w:t>4．完成合同中院方委托的服务管理项目内容，成绩优良，使甲方得到政府和社会机构颁发的荣誉</w:t>
            </w:r>
          </w:p>
        </w:tc>
        <w:tc>
          <w:tcPr>
            <w:tcW w:w="0" w:type="auto"/>
            <w:vMerge w:val="continue"/>
            <w:vAlign w:val="center"/>
          </w:tcPr>
          <w:p w14:paraId="67B4B48B">
            <w:pPr>
              <w:rPr>
                <w:rFonts w:hint="eastAsia" w:ascii="宋体" w:hAnsi="宋体" w:cs="宋体"/>
                <w:bCs/>
                <w:color w:val="auto"/>
                <w:szCs w:val="21"/>
                <w:highlight w:val="none"/>
              </w:rPr>
            </w:pPr>
          </w:p>
        </w:tc>
      </w:tr>
      <w:tr w14:paraId="62979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 w:hRule="atLeast"/>
          <w:jc w:val="center"/>
        </w:trPr>
        <w:tc>
          <w:tcPr>
            <w:tcW w:w="0" w:type="auto"/>
            <w:vMerge w:val="continue"/>
            <w:vAlign w:val="center"/>
          </w:tcPr>
          <w:p w14:paraId="1CB20815">
            <w:pPr>
              <w:jc w:val="center"/>
              <w:rPr>
                <w:rFonts w:hint="eastAsia" w:ascii="宋体" w:hAnsi="宋体" w:cs="宋体"/>
                <w:bCs/>
                <w:color w:val="auto"/>
                <w:szCs w:val="21"/>
                <w:highlight w:val="none"/>
              </w:rPr>
            </w:pPr>
          </w:p>
        </w:tc>
        <w:tc>
          <w:tcPr>
            <w:tcW w:w="0" w:type="auto"/>
            <w:vAlign w:val="center"/>
          </w:tcPr>
          <w:p w14:paraId="74ECD209">
            <w:pPr>
              <w:rPr>
                <w:rFonts w:hint="eastAsia" w:ascii="宋体" w:hAnsi="宋体" w:cs="宋体"/>
                <w:bCs/>
                <w:color w:val="auto"/>
                <w:szCs w:val="21"/>
                <w:highlight w:val="none"/>
              </w:rPr>
            </w:pPr>
            <w:r>
              <w:rPr>
                <w:rFonts w:hint="eastAsia" w:ascii="宋体" w:hAnsi="宋体" w:cs="宋体"/>
                <w:bCs/>
                <w:color w:val="auto"/>
                <w:szCs w:val="21"/>
                <w:highlight w:val="none"/>
              </w:rPr>
              <w:t>5．协助医院完成重大接待任务、临时突击任务加班加点</w:t>
            </w:r>
          </w:p>
        </w:tc>
        <w:tc>
          <w:tcPr>
            <w:tcW w:w="0" w:type="auto"/>
            <w:vMerge w:val="continue"/>
            <w:vAlign w:val="center"/>
          </w:tcPr>
          <w:p w14:paraId="3C429D41">
            <w:pPr>
              <w:rPr>
                <w:rFonts w:hint="eastAsia" w:ascii="宋体" w:hAnsi="宋体" w:cs="宋体"/>
                <w:bCs/>
                <w:color w:val="auto"/>
                <w:szCs w:val="21"/>
                <w:highlight w:val="none"/>
              </w:rPr>
            </w:pPr>
          </w:p>
        </w:tc>
      </w:tr>
      <w:tr w14:paraId="73335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 w:hRule="atLeast"/>
          <w:jc w:val="center"/>
        </w:trPr>
        <w:tc>
          <w:tcPr>
            <w:tcW w:w="0" w:type="auto"/>
            <w:vMerge w:val="continue"/>
            <w:vAlign w:val="center"/>
          </w:tcPr>
          <w:p w14:paraId="6C49E6F3">
            <w:pPr>
              <w:jc w:val="center"/>
              <w:rPr>
                <w:rFonts w:hint="eastAsia" w:ascii="宋体" w:hAnsi="宋体" w:cs="宋体"/>
                <w:bCs/>
                <w:color w:val="auto"/>
                <w:szCs w:val="21"/>
                <w:highlight w:val="none"/>
              </w:rPr>
            </w:pPr>
          </w:p>
        </w:tc>
        <w:tc>
          <w:tcPr>
            <w:tcW w:w="0" w:type="auto"/>
            <w:vAlign w:val="center"/>
          </w:tcPr>
          <w:p w14:paraId="6A2DF422">
            <w:pPr>
              <w:rPr>
                <w:rFonts w:hint="eastAsia" w:ascii="宋体" w:hAnsi="宋体" w:cs="宋体"/>
                <w:bCs/>
                <w:color w:val="auto"/>
                <w:szCs w:val="21"/>
                <w:highlight w:val="none"/>
              </w:rPr>
            </w:pPr>
            <w:r>
              <w:rPr>
                <w:rFonts w:hint="eastAsia" w:ascii="宋体" w:hAnsi="宋体" w:cs="宋体"/>
                <w:bCs/>
                <w:color w:val="auto"/>
                <w:szCs w:val="21"/>
                <w:highlight w:val="none"/>
              </w:rPr>
              <w:t>6.其它如控制恶性事件发生、拾金不昧、助人为乐等</w:t>
            </w:r>
          </w:p>
        </w:tc>
        <w:tc>
          <w:tcPr>
            <w:tcW w:w="0" w:type="auto"/>
            <w:vMerge w:val="continue"/>
            <w:vAlign w:val="center"/>
          </w:tcPr>
          <w:p w14:paraId="7FFB9FED">
            <w:pPr>
              <w:rPr>
                <w:rFonts w:hint="eastAsia" w:ascii="宋体" w:hAnsi="宋体" w:cs="宋体"/>
                <w:bCs/>
                <w:color w:val="auto"/>
                <w:szCs w:val="21"/>
                <w:highlight w:val="none"/>
              </w:rPr>
            </w:pPr>
          </w:p>
        </w:tc>
      </w:tr>
      <w:tr w14:paraId="2A77E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3" w:hRule="atLeast"/>
          <w:jc w:val="center"/>
        </w:trPr>
        <w:tc>
          <w:tcPr>
            <w:tcW w:w="0" w:type="auto"/>
            <w:vMerge w:val="restart"/>
            <w:vAlign w:val="center"/>
          </w:tcPr>
          <w:p w14:paraId="13906C23">
            <w:pPr>
              <w:jc w:val="center"/>
              <w:rPr>
                <w:rFonts w:hint="eastAsia" w:ascii="宋体" w:hAnsi="宋体" w:cs="宋体"/>
                <w:bCs/>
                <w:color w:val="auto"/>
                <w:szCs w:val="21"/>
                <w:highlight w:val="none"/>
              </w:rPr>
            </w:pPr>
            <w:r>
              <w:rPr>
                <w:rFonts w:hint="eastAsia" w:ascii="宋体" w:hAnsi="宋体" w:cs="宋体"/>
                <w:bCs/>
                <w:color w:val="auto"/>
                <w:szCs w:val="21"/>
                <w:highlight w:val="none"/>
              </w:rPr>
              <w:t>备注</w:t>
            </w:r>
          </w:p>
        </w:tc>
        <w:tc>
          <w:tcPr>
            <w:tcW w:w="0" w:type="auto"/>
            <w:gridSpan w:val="2"/>
            <w:vAlign w:val="center"/>
          </w:tcPr>
          <w:p w14:paraId="26912CFE">
            <w:pPr>
              <w:rPr>
                <w:rFonts w:hint="eastAsia" w:ascii="宋体" w:hAnsi="宋体" w:cs="宋体"/>
                <w:bCs/>
                <w:color w:val="auto"/>
                <w:szCs w:val="21"/>
                <w:highlight w:val="none"/>
              </w:rPr>
            </w:pPr>
            <w:r>
              <w:rPr>
                <w:rFonts w:hint="eastAsia" w:ascii="宋体" w:hAnsi="宋体" w:cs="宋体"/>
                <w:bCs/>
                <w:color w:val="auto"/>
                <w:szCs w:val="21"/>
                <w:highlight w:val="none"/>
              </w:rPr>
              <w:t>1、因乙方消防管理失误，造成火灾等重大人员伤亡恶性事件，给医院方造成重大影响的，扣除当月所有管理费用，乙方承担相应法律责任及经济赔偿。</w:t>
            </w:r>
          </w:p>
        </w:tc>
      </w:tr>
      <w:tr w14:paraId="13034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0" w:type="auto"/>
            <w:vMerge w:val="continue"/>
            <w:vAlign w:val="center"/>
          </w:tcPr>
          <w:p w14:paraId="54146018">
            <w:pPr>
              <w:jc w:val="center"/>
              <w:rPr>
                <w:rFonts w:hint="eastAsia" w:ascii="宋体" w:hAnsi="宋体" w:cs="宋体"/>
                <w:bCs/>
                <w:color w:val="auto"/>
                <w:szCs w:val="21"/>
                <w:highlight w:val="none"/>
              </w:rPr>
            </w:pPr>
          </w:p>
        </w:tc>
        <w:tc>
          <w:tcPr>
            <w:tcW w:w="0" w:type="auto"/>
            <w:gridSpan w:val="2"/>
            <w:vAlign w:val="center"/>
          </w:tcPr>
          <w:p w14:paraId="2CB76750">
            <w:pPr>
              <w:rPr>
                <w:rFonts w:hint="eastAsia" w:ascii="宋体" w:hAnsi="宋体" w:cs="宋体"/>
                <w:bCs/>
                <w:color w:val="auto"/>
                <w:szCs w:val="21"/>
                <w:highlight w:val="none"/>
              </w:rPr>
            </w:pPr>
            <w:r>
              <w:rPr>
                <w:rFonts w:hint="eastAsia" w:ascii="宋体" w:hAnsi="宋体" w:cs="宋体"/>
                <w:bCs/>
                <w:color w:val="auto"/>
                <w:szCs w:val="21"/>
                <w:highlight w:val="none"/>
              </w:rPr>
              <w:t>2、因乙方未严格执行食品卫生的有关规定，造成工作人员或病人食物中毒者乙方除承担区卫生监督所的行政处罚外，并承担受害人相应的经济损失，甲方根据事件后果严重程度在该半年绩效奖金中给予乙方500-5000元的处罚，如需承担法律责任的还应承担相应法律责任。</w:t>
            </w:r>
          </w:p>
        </w:tc>
      </w:tr>
      <w:tr w14:paraId="119F4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0" w:type="auto"/>
            <w:vMerge w:val="continue"/>
            <w:vAlign w:val="center"/>
          </w:tcPr>
          <w:p w14:paraId="7F9985DC">
            <w:pPr>
              <w:jc w:val="center"/>
              <w:rPr>
                <w:rFonts w:hint="eastAsia" w:ascii="宋体" w:hAnsi="宋体" w:cs="宋体"/>
                <w:bCs/>
                <w:color w:val="auto"/>
                <w:szCs w:val="21"/>
                <w:highlight w:val="none"/>
              </w:rPr>
            </w:pPr>
          </w:p>
        </w:tc>
        <w:tc>
          <w:tcPr>
            <w:tcW w:w="0" w:type="auto"/>
            <w:gridSpan w:val="2"/>
            <w:vAlign w:val="center"/>
          </w:tcPr>
          <w:p w14:paraId="3FB1588F">
            <w:pPr>
              <w:rPr>
                <w:rFonts w:hint="eastAsia" w:ascii="宋体" w:hAnsi="宋体" w:cs="宋体"/>
                <w:bCs/>
                <w:color w:val="auto"/>
                <w:szCs w:val="21"/>
                <w:highlight w:val="none"/>
              </w:rPr>
            </w:pPr>
            <w:r>
              <w:rPr>
                <w:rFonts w:hint="eastAsia" w:ascii="宋体" w:hAnsi="宋体" w:cs="宋体"/>
                <w:bCs/>
                <w:color w:val="auto"/>
                <w:szCs w:val="21"/>
                <w:highlight w:val="none"/>
              </w:rPr>
              <w:t>3、因乙方未按要求定期进行安全生产维护，造成不良后果者，甲方在该半年绩效奖金中给予乙方500-5000元处罚。</w:t>
            </w:r>
          </w:p>
        </w:tc>
      </w:tr>
    </w:tbl>
    <w:p w14:paraId="268FAC59">
      <w:pPr>
        <w:tabs>
          <w:tab w:val="left" w:pos="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2.考核方式：每月考核。</w:t>
      </w:r>
    </w:p>
    <w:p w14:paraId="70D39CE2">
      <w:pPr>
        <w:tabs>
          <w:tab w:val="left" w:pos="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合同期间，如出现重大综合管理缺陷（乙方工作人员连续一周未满足采购文件要求的，视为重大管理缺陷，经甲方同意除外），甲方有权扣除相应的月度服务费用（具体费用由甲方根据缺陷情况商议后确定）。若连续出现2次类似缺陷视为违约行为，甲方有权解除合同。</w:t>
      </w:r>
    </w:p>
    <w:p w14:paraId="0136800B">
      <w:pPr>
        <w:pStyle w:val="230"/>
        <w:spacing w:line="400" w:lineRule="exact"/>
        <w:rPr>
          <w:rFonts w:hint="eastAsia" w:hAnsi="宋体" w:eastAsia="宋体" w:cs="宋体"/>
          <w:b/>
          <w:color w:val="auto"/>
          <w:sz w:val="21"/>
          <w:szCs w:val="21"/>
          <w:highlight w:val="none"/>
        </w:rPr>
      </w:pPr>
      <w:r>
        <w:rPr>
          <w:rFonts w:hint="eastAsia" w:hAnsi="宋体" w:eastAsia="宋体" w:cs="宋体"/>
          <w:color w:val="auto"/>
          <w:sz w:val="21"/>
          <w:szCs w:val="21"/>
          <w:highlight w:val="none"/>
        </w:rPr>
        <w:t>每月根据实际考核情况由甲方进行考核，每半年根据每月实际考核情况（6个月考核平均成绩），平均考核分数≥80分，医院方不扣除服务费；75分≤平均考核分数＜80分，医院方从次月服务费中扣除1万元；70分≤平均考核分数＜75分，医院方从次月服务费中扣除2万元；低于70分，医院方从次月服务费中扣除3万元。具体考核详见考核表</w:t>
      </w:r>
    </w:p>
    <w:p w14:paraId="22DAD5E1">
      <w:pPr>
        <w:pStyle w:val="230"/>
        <w:spacing w:line="400" w:lineRule="exact"/>
        <w:rPr>
          <w:rFonts w:hint="eastAsia" w:hAnsi="宋体" w:eastAsia="宋体" w:cs="宋体"/>
          <w:b/>
          <w:color w:val="auto"/>
          <w:sz w:val="21"/>
          <w:szCs w:val="21"/>
          <w:highlight w:val="none"/>
        </w:rPr>
      </w:pPr>
      <w:r>
        <w:rPr>
          <w:rFonts w:hint="eastAsia" w:hAnsi="宋体" w:eastAsia="宋体" w:cs="宋体"/>
          <w:b/>
          <w:color w:val="auto"/>
          <w:sz w:val="21"/>
          <w:szCs w:val="21"/>
          <w:highlight w:val="none"/>
        </w:rPr>
        <w:t>五、甲、乙双方的责任</w:t>
      </w:r>
    </w:p>
    <w:p w14:paraId="404BCED7">
      <w:pPr>
        <w:pStyle w:val="230"/>
        <w:spacing w:line="400" w:lineRule="exact"/>
        <w:ind w:firstLine="435"/>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lang w:val="zh-CN"/>
        </w:rPr>
        <w:t>1、甲方责任及权利：</w:t>
      </w:r>
    </w:p>
    <w:p w14:paraId="374AD2A1">
      <w:pPr>
        <w:pStyle w:val="230"/>
        <w:spacing w:line="400" w:lineRule="exact"/>
        <w:ind w:firstLine="435"/>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lang w:val="zh-CN"/>
        </w:rPr>
        <w:t>（1）为乙方物业管理部门提供办公用房及通讯设施；并指定专人作为甲方联系人予以协调工作。加强与乙方沟通，交流情况，互通信息。</w:t>
      </w:r>
    </w:p>
    <w:p w14:paraId="4C7F356B">
      <w:pPr>
        <w:pStyle w:val="230"/>
        <w:spacing w:line="400" w:lineRule="exact"/>
        <w:ind w:firstLine="435"/>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lang w:val="zh-CN"/>
        </w:rPr>
        <w:t>（2）甲方因工作需要，乙方应无条件配合甲方完成一些突击工作。如：安排服务人员（内部）临时加班。甲方给予乙方员工一定的加班费补贴。</w:t>
      </w:r>
    </w:p>
    <w:p w14:paraId="473115EC">
      <w:pPr>
        <w:pStyle w:val="230"/>
        <w:spacing w:line="400" w:lineRule="exact"/>
        <w:ind w:firstLine="435"/>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lang w:val="zh-CN"/>
        </w:rPr>
        <w:t>（3）甲方应教育所属人员尊重乙方工作人员的劳动成果，积极配合乙方工作人员履行好合同所规定的职责和义务。</w:t>
      </w:r>
    </w:p>
    <w:p w14:paraId="4122E696">
      <w:pPr>
        <w:pStyle w:val="230"/>
        <w:spacing w:line="400" w:lineRule="exact"/>
        <w:ind w:firstLine="435"/>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lang w:val="zh-CN"/>
        </w:rPr>
        <w:t>（4）如本合同及本合同不可分割部分之约定存有不一致，甲方有权选择有利条款进行各类主张，对此乙方予以接受。</w:t>
      </w:r>
    </w:p>
    <w:p w14:paraId="72F4D8E3">
      <w:pPr>
        <w:pStyle w:val="230"/>
        <w:spacing w:line="400" w:lineRule="exact"/>
        <w:ind w:firstLine="435"/>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lang w:val="zh-CN"/>
        </w:rPr>
        <w:t>2、乙方责任及权利：</w:t>
      </w:r>
    </w:p>
    <w:p w14:paraId="363178D9">
      <w:pPr>
        <w:pStyle w:val="230"/>
        <w:spacing w:line="400" w:lineRule="exact"/>
        <w:ind w:firstLine="435"/>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lang w:val="zh-CN"/>
        </w:rPr>
        <w:t>（1）乙方在从事服务工作中应当做到文明工作、安全生产，采取必要的安全防范措施，合同期内若发生安全事故等均由乙方承担，与甲方无关。</w:t>
      </w:r>
    </w:p>
    <w:p w14:paraId="22F5E464">
      <w:pPr>
        <w:pStyle w:val="230"/>
        <w:spacing w:line="400" w:lineRule="exact"/>
        <w:ind w:firstLine="435"/>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lang w:val="zh-CN"/>
        </w:rPr>
        <w:t>（2）乙方应及时调整不适应工作需求的服务人员及其他员工。如甲方认为该员工不能胜任本职工作的，乙方必须及时调整；如因此而影响甲方日常运营，则须承担全部责任。</w:t>
      </w:r>
    </w:p>
    <w:p w14:paraId="4E4795B6">
      <w:pPr>
        <w:pStyle w:val="230"/>
        <w:spacing w:line="400" w:lineRule="exact"/>
        <w:ind w:firstLine="435"/>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lang w:val="zh-CN"/>
        </w:rPr>
        <w:t>（3）乙方应经常对员工进行岗位职责和安全教育，加强岗位责任考核。因管理不当、违规操作发生设备损坏、被盗等安全事故或其他事项造成甲方造成损失的，乙方需承担赔偿责任。</w:t>
      </w:r>
    </w:p>
    <w:p w14:paraId="2B47489A">
      <w:pPr>
        <w:pStyle w:val="230"/>
        <w:spacing w:line="400" w:lineRule="exact"/>
        <w:rPr>
          <w:rFonts w:hint="eastAsia" w:hAnsi="宋体" w:eastAsia="宋体" w:cs="宋体"/>
          <w:b/>
          <w:color w:val="auto"/>
          <w:sz w:val="21"/>
          <w:szCs w:val="21"/>
          <w:highlight w:val="none"/>
        </w:rPr>
      </w:pPr>
      <w:r>
        <w:rPr>
          <w:rFonts w:hint="eastAsia" w:hAnsi="宋体" w:eastAsia="宋体" w:cs="宋体"/>
          <w:b/>
          <w:color w:val="auto"/>
          <w:sz w:val="21"/>
          <w:szCs w:val="21"/>
          <w:highlight w:val="none"/>
        </w:rPr>
        <w:t>六、违约责任（除已有约定外）</w:t>
      </w:r>
    </w:p>
    <w:p w14:paraId="68B8FB7B">
      <w:pPr>
        <w:pStyle w:val="230"/>
        <w:spacing w:line="400" w:lineRule="exact"/>
        <w:ind w:firstLine="435"/>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lang w:val="zh-CN"/>
        </w:rPr>
        <w:t>1、合同一方不履行合同义务或者履行合同义务不符合约定的，应当承担继续履行、采取补救措施或者赔偿损失等违约责任；同时守约方也有权视情形直接解除本合同并有权不予支付任何款项。</w:t>
      </w:r>
    </w:p>
    <w:p w14:paraId="1B949F16">
      <w:pPr>
        <w:pStyle w:val="230"/>
        <w:spacing w:line="400" w:lineRule="exact"/>
        <w:ind w:firstLine="435"/>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lang w:val="zh-CN"/>
        </w:rPr>
        <w:t>2、不可抗力：</w:t>
      </w:r>
    </w:p>
    <w:p w14:paraId="2FA7DD12">
      <w:pPr>
        <w:pStyle w:val="230"/>
        <w:spacing w:line="400" w:lineRule="exact"/>
        <w:ind w:firstLine="435"/>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lang w:val="zh-CN"/>
        </w:rPr>
        <w:t>2.1因不可抗力不能履行合同的，根据不可抗力的影响，部分或者全部免除责任。但合同一方迟延履行后发生不可抗力的，不能免除责任。</w:t>
      </w:r>
    </w:p>
    <w:p w14:paraId="55D8B95B">
      <w:pPr>
        <w:pStyle w:val="230"/>
        <w:spacing w:line="400" w:lineRule="exact"/>
        <w:ind w:firstLine="435"/>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lang w:val="zh-CN"/>
        </w:rPr>
        <w:t>2.2合同一方因不可抗力不能履行合同的，应当及时书面通知对方，以减轻可能给对方造成的损失，并应当在合理期限内提供证明。</w:t>
      </w:r>
    </w:p>
    <w:p w14:paraId="764BAC46">
      <w:pPr>
        <w:pStyle w:val="230"/>
        <w:spacing w:line="400" w:lineRule="exact"/>
        <w:rPr>
          <w:rFonts w:hint="eastAsia" w:hAnsi="宋体" w:eastAsia="宋体" w:cs="宋体"/>
          <w:b/>
          <w:color w:val="auto"/>
          <w:sz w:val="21"/>
          <w:szCs w:val="21"/>
          <w:highlight w:val="none"/>
        </w:rPr>
      </w:pPr>
      <w:r>
        <w:rPr>
          <w:rFonts w:hint="eastAsia" w:hAnsi="宋体" w:eastAsia="宋体" w:cs="宋体"/>
          <w:b/>
          <w:color w:val="auto"/>
          <w:sz w:val="21"/>
          <w:szCs w:val="21"/>
          <w:highlight w:val="none"/>
        </w:rPr>
        <w:t>七、合同的解除和转让（除已有约定外）</w:t>
      </w:r>
    </w:p>
    <w:p w14:paraId="501CFFED">
      <w:pPr>
        <w:pStyle w:val="230"/>
        <w:spacing w:line="400" w:lineRule="exact"/>
        <w:ind w:firstLine="435"/>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lang w:val="zh-CN"/>
        </w:rPr>
        <w:t>1、合同的解除（除已有约定外）</w:t>
      </w:r>
    </w:p>
    <w:p w14:paraId="039302BD">
      <w:pPr>
        <w:pStyle w:val="230"/>
        <w:spacing w:line="400" w:lineRule="exact"/>
        <w:ind w:firstLine="420"/>
        <w:rPr>
          <w:rFonts w:hint="eastAsia" w:hAnsi="宋体" w:eastAsia="宋体" w:cs="宋体"/>
          <w:color w:val="auto"/>
          <w:sz w:val="21"/>
          <w:szCs w:val="21"/>
          <w:highlight w:val="none"/>
        </w:rPr>
      </w:pPr>
      <w:r>
        <w:rPr>
          <w:rFonts w:hint="eastAsia" w:hAnsi="宋体" w:eastAsia="宋体" w:cs="宋体"/>
          <w:color w:val="auto"/>
          <w:sz w:val="21"/>
          <w:szCs w:val="21"/>
          <w:highlight w:val="none"/>
        </w:rPr>
        <w:t>1.1有下列情形之一，合同一方可以解除合同：</w:t>
      </w:r>
    </w:p>
    <w:p w14:paraId="39DCC5C2">
      <w:pPr>
        <w:pStyle w:val="230"/>
        <w:spacing w:line="400" w:lineRule="exact"/>
        <w:ind w:firstLine="420"/>
        <w:rPr>
          <w:rFonts w:hint="eastAsia" w:hAnsi="宋体" w:eastAsia="宋体" w:cs="宋体"/>
          <w:color w:val="auto"/>
          <w:sz w:val="21"/>
          <w:szCs w:val="21"/>
          <w:highlight w:val="none"/>
        </w:rPr>
      </w:pPr>
      <w:r>
        <w:rPr>
          <w:rFonts w:hint="eastAsia" w:hAnsi="宋体" w:eastAsia="宋体" w:cs="宋体"/>
          <w:color w:val="auto"/>
          <w:sz w:val="21"/>
          <w:szCs w:val="21"/>
          <w:highlight w:val="none"/>
        </w:rPr>
        <w:t>1.1.1 因不可抗力致使不能实现合同目的，未受不可抗力影响的一方有权解除合同；</w:t>
      </w:r>
    </w:p>
    <w:p w14:paraId="659B66AF">
      <w:pPr>
        <w:pStyle w:val="230"/>
        <w:spacing w:line="400" w:lineRule="exact"/>
        <w:ind w:firstLine="420"/>
        <w:rPr>
          <w:rFonts w:hint="eastAsia" w:hAnsi="宋体" w:eastAsia="宋体" w:cs="宋体"/>
          <w:color w:val="auto"/>
          <w:sz w:val="21"/>
          <w:szCs w:val="21"/>
          <w:highlight w:val="none"/>
        </w:rPr>
      </w:pPr>
      <w:r>
        <w:rPr>
          <w:rFonts w:hint="eastAsia" w:hAnsi="宋体" w:eastAsia="宋体" w:cs="宋体"/>
          <w:color w:val="auto"/>
          <w:sz w:val="21"/>
          <w:szCs w:val="21"/>
          <w:highlight w:val="none"/>
        </w:rPr>
        <w:t>1.1.2 因合同一方违约导致合同不能履行或已无实际履行意义等，另一方有权解除合同。</w:t>
      </w:r>
    </w:p>
    <w:p w14:paraId="15BF4528">
      <w:pPr>
        <w:pStyle w:val="230"/>
        <w:spacing w:line="400" w:lineRule="exact"/>
        <w:ind w:firstLine="420"/>
        <w:rPr>
          <w:rFonts w:hint="eastAsia" w:hAnsi="宋体" w:eastAsia="宋体" w:cs="宋体"/>
          <w:color w:val="auto"/>
          <w:sz w:val="21"/>
          <w:szCs w:val="21"/>
          <w:highlight w:val="none"/>
        </w:rPr>
      </w:pPr>
      <w:r>
        <w:rPr>
          <w:rFonts w:hint="eastAsia" w:hAnsi="宋体" w:eastAsia="宋体" w:cs="宋体"/>
          <w:color w:val="auto"/>
          <w:sz w:val="21"/>
          <w:szCs w:val="21"/>
          <w:highlight w:val="none"/>
        </w:rPr>
        <w:t>1.1.3 除已有约定外，有权解除合同的一方，可在违约事实或不可抗力发生之后书面通知对方以主张解除合同，合同在书面通知到达对方时解除。</w:t>
      </w:r>
    </w:p>
    <w:p w14:paraId="65CCD37D">
      <w:pPr>
        <w:pStyle w:val="230"/>
        <w:spacing w:line="400" w:lineRule="exact"/>
        <w:ind w:firstLine="420"/>
        <w:rPr>
          <w:rFonts w:hint="eastAsia" w:hAnsi="宋体" w:eastAsia="宋体" w:cs="宋体"/>
          <w:color w:val="auto"/>
          <w:sz w:val="21"/>
          <w:szCs w:val="21"/>
          <w:highlight w:val="none"/>
        </w:rPr>
      </w:pPr>
      <w:r>
        <w:rPr>
          <w:rFonts w:hint="eastAsia" w:hAnsi="宋体" w:eastAsia="宋体" w:cs="宋体"/>
          <w:color w:val="auto"/>
          <w:sz w:val="21"/>
          <w:szCs w:val="21"/>
          <w:highlight w:val="none"/>
        </w:rPr>
        <w:t>1.1.4 乙方提供的服务无法达到甲方要求，拒不整改或整改后仍无法达到甲方的服务要求的，甲方有权直接解除本合同并不予支付任何款项。</w:t>
      </w:r>
    </w:p>
    <w:p w14:paraId="7DDA58F1">
      <w:pPr>
        <w:pStyle w:val="230"/>
        <w:spacing w:line="400" w:lineRule="exact"/>
        <w:ind w:firstLine="420"/>
        <w:rPr>
          <w:rFonts w:hint="eastAsia" w:hAnsi="宋体" w:eastAsia="宋体" w:cs="宋体"/>
          <w:color w:val="auto"/>
          <w:sz w:val="21"/>
          <w:szCs w:val="21"/>
          <w:highlight w:val="none"/>
        </w:rPr>
      </w:pPr>
      <w:r>
        <w:rPr>
          <w:rFonts w:hint="eastAsia" w:hAnsi="宋体" w:eastAsia="宋体" w:cs="宋体"/>
          <w:color w:val="auto"/>
          <w:sz w:val="21"/>
          <w:szCs w:val="21"/>
          <w:highlight w:val="none"/>
        </w:rPr>
        <w:t>1.1.5 如各类原因导致本合同提前终止的，在甲方重新获得服务前，乙方应无条件无偿向甲方继续提供苏州市吴江区精神康复医院医疗辅助服务直至完成更替。</w:t>
      </w:r>
    </w:p>
    <w:p w14:paraId="3C932364">
      <w:pPr>
        <w:pStyle w:val="230"/>
        <w:spacing w:line="400" w:lineRule="exact"/>
        <w:ind w:firstLine="420"/>
        <w:rPr>
          <w:rFonts w:hint="eastAsia" w:hAnsi="宋体" w:eastAsia="宋体" w:cs="宋体"/>
          <w:color w:val="auto"/>
          <w:sz w:val="21"/>
          <w:szCs w:val="21"/>
          <w:highlight w:val="none"/>
        </w:rPr>
      </w:pPr>
      <w:r>
        <w:rPr>
          <w:rFonts w:hint="eastAsia" w:hAnsi="宋体" w:eastAsia="宋体" w:cs="宋体"/>
          <w:color w:val="auto"/>
          <w:sz w:val="21"/>
          <w:szCs w:val="21"/>
          <w:highlight w:val="none"/>
        </w:rPr>
        <w:t>2、合同的转让</w:t>
      </w:r>
    </w:p>
    <w:p w14:paraId="73C18752">
      <w:pPr>
        <w:pStyle w:val="230"/>
        <w:spacing w:line="400" w:lineRule="exact"/>
        <w:ind w:firstLine="420"/>
        <w:rPr>
          <w:rFonts w:hint="eastAsia" w:hAnsi="宋体" w:eastAsia="宋体" w:cs="宋体"/>
          <w:color w:val="auto"/>
          <w:sz w:val="21"/>
          <w:szCs w:val="21"/>
          <w:highlight w:val="none"/>
        </w:rPr>
      </w:pPr>
      <w:r>
        <w:rPr>
          <w:rFonts w:hint="eastAsia" w:hAnsi="宋体" w:eastAsia="宋体" w:cs="宋体"/>
          <w:color w:val="auto"/>
          <w:sz w:val="21"/>
          <w:szCs w:val="21"/>
          <w:highlight w:val="none"/>
        </w:rPr>
        <w:t>合同的部分和全部都不得转让、分包或委托第三人完成，如有属严重违约，甲方有权直接解除本合同并不予支付任何款项。</w:t>
      </w:r>
    </w:p>
    <w:p w14:paraId="62714661">
      <w:pPr>
        <w:pStyle w:val="230"/>
        <w:spacing w:line="400" w:lineRule="exact"/>
        <w:rPr>
          <w:rFonts w:hint="eastAsia" w:hAnsi="宋体" w:eastAsia="宋体" w:cs="宋体"/>
          <w:b/>
          <w:color w:val="auto"/>
          <w:sz w:val="21"/>
          <w:szCs w:val="21"/>
          <w:highlight w:val="none"/>
        </w:rPr>
      </w:pPr>
      <w:r>
        <w:rPr>
          <w:rFonts w:hint="eastAsia" w:hAnsi="宋体" w:eastAsia="宋体" w:cs="宋体"/>
          <w:b/>
          <w:color w:val="auto"/>
          <w:sz w:val="21"/>
          <w:szCs w:val="21"/>
          <w:highlight w:val="none"/>
        </w:rPr>
        <w:t>八、合同的生效</w:t>
      </w:r>
    </w:p>
    <w:p w14:paraId="2EA5DF2A">
      <w:pPr>
        <w:spacing w:line="39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本合同经双方法定代表人或其委托代理人签字并加盖公章（或合同章）后生效，多页合同需采购代理机构加盖骑缝章，合同在签订两个工作日内由甲方上传苏采云系统备案。</w:t>
      </w:r>
    </w:p>
    <w:p w14:paraId="2C6F25A0">
      <w:pPr>
        <w:spacing w:line="390" w:lineRule="exact"/>
        <w:rPr>
          <w:rFonts w:hint="eastAsia" w:ascii="宋体" w:hAnsi="宋体" w:cs="宋体"/>
          <w:b/>
          <w:color w:val="auto"/>
          <w:szCs w:val="21"/>
          <w:highlight w:val="none"/>
        </w:rPr>
      </w:pPr>
      <w:r>
        <w:rPr>
          <w:rFonts w:hint="eastAsia" w:ascii="宋体" w:hAnsi="宋体" w:cs="宋体"/>
          <w:b/>
          <w:color w:val="auto"/>
          <w:szCs w:val="21"/>
          <w:highlight w:val="none"/>
        </w:rPr>
        <w:t>九、附则</w:t>
      </w:r>
    </w:p>
    <w:p w14:paraId="3F033D06">
      <w:pPr>
        <w:spacing w:line="39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1、合同份数</w:t>
      </w:r>
    </w:p>
    <w:p w14:paraId="7A48D71C">
      <w:pPr>
        <w:spacing w:line="39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本合同一式五份，甲方两份，乙方两份，采购代理机构一份。</w:t>
      </w:r>
    </w:p>
    <w:p w14:paraId="57713565">
      <w:pPr>
        <w:tabs>
          <w:tab w:val="left" w:pos="0"/>
        </w:tabs>
        <w:spacing w:line="40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2、甲乙双方在履行合同过程中发生争议的，由双方协商解决，协商不成的，提交甲方所在地人民法院管辖。</w:t>
      </w:r>
    </w:p>
    <w:p w14:paraId="2D1A5702">
      <w:pPr>
        <w:tabs>
          <w:tab w:val="left" w:pos="0"/>
        </w:tabs>
        <w:spacing w:line="40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3、未尽事宜</w:t>
      </w:r>
    </w:p>
    <w:p w14:paraId="6688B01B">
      <w:pPr>
        <w:tabs>
          <w:tab w:val="left" w:pos="0"/>
        </w:tabs>
        <w:spacing w:line="40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本合同未尽事宜应参照《中华人民共和国民法典》、《中华人民共和国政府采购法》以及其同相关法律、法规之规定解释。</w:t>
      </w:r>
    </w:p>
    <w:p w14:paraId="24D8E77C">
      <w:pPr>
        <w:spacing w:line="440" w:lineRule="exact"/>
        <w:rPr>
          <w:color w:val="auto"/>
          <w:highlight w:val="none"/>
        </w:rPr>
      </w:pPr>
    </w:p>
    <w:p w14:paraId="30353433">
      <w:pPr>
        <w:pStyle w:val="53"/>
        <w:rPr>
          <w:rFonts w:ascii="Times New Roman"/>
          <w:color w:val="auto"/>
          <w:highlight w:val="none"/>
          <w:lang w:val="zh-CN"/>
        </w:rPr>
      </w:pPr>
    </w:p>
    <w:p w14:paraId="04204C31">
      <w:pPr>
        <w:pStyle w:val="16"/>
        <w:spacing w:line="460" w:lineRule="exact"/>
        <w:ind w:firstLine="420"/>
        <w:rPr>
          <w:rFonts w:hint="eastAsia" w:ascii="宋体" w:hAnsi="宋体"/>
          <w:color w:val="auto"/>
          <w:sz w:val="21"/>
          <w:szCs w:val="21"/>
          <w:highlight w:val="none"/>
        </w:rPr>
      </w:pPr>
      <w:r>
        <w:rPr>
          <w:rFonts w:ascii="宋体" w:hAnsi="宋体"/>
          <w:color w:val="auto"/>
          <w:sz w:val="21"/>
          <w:szCs w:val="21"/>
          <w:highlight w:val="none"/>
        </w:rPr>
        <w:t>（以下为签章页，无正文）</w:t>
      </w:r>
    </w:p>
    <w:tbl>
      <w:tblPr>
        <w:tblStyle w:val="43"/>
        <w:tblW w:w="90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7"/>
        <w:gridCol w:w="4333"/>
      </w:tblGrid>
      <w:tr w14:paraId="6BB78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87" w:type="dxa"/>
          </w:tcPr>
          <w:p w14:paraId="6617A819">
            <w:pPr>
              <w:tabs>
                <w:tab w:val="left" w:pos="0"/>
              </w:tabs>
              <w:spacing w:line="400" w:lineRule="exact"/>
              <w:rPr>
                <w:rFonts w:hint="eastAsia" w:ascii="宋体" w:hAnsi="宋体"/>
                <w:color w:val="auto"/>
                <w:szCs w:val="21"/>
                <w:highlight w:val="none"/>
              </w:rPr>
            </w:pPr>
            <w:r>
              <w:rPr>
                <w:rFonts w:ascii="宋体" w:hAnsi="宋体"/>
                <w:color w:val="auto"/>
                <w:szCs w:val="21"/>
                <w:highlight w:val="none"/>
              </w:rPr>
              <w:t>甲方（签章）：</w:t>
            </w:r>
          </w:p>
          <w:p w14:paraId="3498BF0B">
            <w:pPr>
              <w:tabs>
                <w:tab w:val="left" w:pos="0"/>
              </w:tabs>
              <w:spacing w:line="400" w:lineRule="exact"/>
              <w:rPr>
                <w:rFonts w:hint="eastAsia" w:ascii="宋体" w:hAnsi="宋体"/>
                <w:color w:val="auto"/>
                <w:szCs w:val="21"/>
                <w:highlight w:val="none"/>
              </w:rPr>
            </w:pPr>
            <w:r>
              <w:rPr>
                <w:rFonts w:ascii="宋体" w:hAnsi="宋体"/>
                <w:color w:val="auto"/>
                <w:szCs w:val="21"/>
                <w:highlight w:val="none"/>
              </w:rPr>
              <w:t xml:space="preserve">法人代表                         </w:t>
            </w:r>
          </w:p>
          <w:p w14:paraId="62E5DB6A">
            <w:pPr>
              <w:tabs>
                <w:tab w:val="left" w:pos="0"/>
              </w:tabs>
              <w:spacing w:line="400" w:lineRule="exact"/>
              <w:rPr>
                <w:rFonts w:hint="eastAsia" w:ascii="宋体" w:hAnsi="宋体"/>
                <w:color w:val="auto"/>
                <w:szCs w:val="21"/>
                <w:highlight w:val="none"/>
              </w:rPr>
            </w:pPr>
            <w:r>
              <w:rPr>
                <w:rFonts w:ascii="宋体" w:hAnsi="宋体"/>
                <w:color w:val="auto"/>
                <w:szCs w:val="21"/>
                <w:highlight w:val="none"/>
              </w:rPr>
              <w:t>或其授权代理人（签章）：</w:t>
            </w:r>
          </w:p>
          <w:p w14:paraId="271F6A38">
            <w:pPr>
              <w:tabs>
                <w:tab w:val="left" w:pos="0"/>
              </w:tabs>
              <w:spacing w:line="400" w:lineRule="exact"/>
              <w:rPr>
                <w:rFonts w:hint="eastAsia" w:ascii="宋体" w:hAnsi="宋体"/>
                <w:color w:val="auto"/>
                <w:szCs w:val="21"/>
                <w:highlight w:val="none"/>
              </w:rPr>
            </w:pPr>
          </w:p>
          <w:p w14:paraId="7B3AB1B8">
            <w:pPr>
              <w:tabs>
                <w:tab w:val="left" w:pos="0"/>
              </w:tabs>
              <w:spacing w:line="400" w:lineRule="exact"/>
              <w:rPr>
                <w:rFonts w:hint="eastAsia" w:ascii="宋体" w:hAnsi="宋体"/>
                <w:color w:val="auto"/>
                <w:szCs w:val="21"/>
                <w:highlight w:val="none"/>
              </w:rPr>
            </w:pPr>
          </w:p>
          <w:p w14:paraId="15C0D5B5">
            <w:pPr>
              <w:tabs>
                <w:tab w:val="left" w:pos="0"/>
              </w:tabs>
              <w:spacing w:line="400" w:lineRule="exact"/>
              <w:rPr>
                <w:rFonts w:hint="eastAsia" w:ascii="宋体" w:hAnsi="宋体"/>
                <w:color w:val="auto"/>
                <w:szCs w:val="21"/>
                <w:highlight w:val="none"/>
              </w:rPr>
            </w:pPr>
          </w:p>
          <w:p w14:paraId="21D34FF5">
            <w:pPr>
              <w:tabs>
                <w:tab w:val="left" w:pos="0"/>
              </w:tabs>
              <w:spacing w:line="400" w:lineRule="exact"/>
              <w:ind w:firstLine="1890"/>
              <w:rPr>
                <w:rFonts w:hint="eastAsia" w:ascii="宋体" w:hAnsi="宋体"/>
                <w:color w:val="auto"/>
                <w:szCs w:val="21"/>
                <w:highlight w:val="none"/>
              </w:rPr>
            </w:pPr>
            <w:r>
              <w:rPr>
                <w:rFonts w:ascii="宋体" w:hAnsi="宋体"/>
                <w:color w:val="auto"/>
                <w:szCs w:val="21"/>
                <w:highlight w:val="none"/>
              </w:rPr>
              <w:t xml:space="preserve">年   月   日    </w:t>
            </w:r>
          </w:p>
        </w:tc>
        <w:tc>
          <w:tcPr>
            <w:tcW w:w="4333" w:type="dxa"/>
          </w:tcPr>
          <w:p w14:paraId="42AF1D41">
            <w:pPr>
              <w:tabs>
                <w:tab w:val="left" w:pos="0"/>
              </w:tabs>
              <w:spacing w:line="400" w:lineRule="exact"/>
              <w:rPr>
                <w:rFonts w:hint="eastAsia" w:ascii="宋体" w:hAnsi="宋体"/>
                <w:color w:val="auto"/>
                <w:szCs w:val="21"/>
                <w:highlight w:val="none"/>
              </w:rPr>
            </w:pPr>
            <w:r>
              <w:rPr>
                <w:rFonts w:ascii="宋体" w:hAnsi="宋体"/>
                <w:color w:val="auto"/>
                <w:szCs w:val="21"/>
                <w:highlight w:val="none"/>
              </w:rPr>
              <w:t>乙方（签章）：</w:t>
            </w:r>
          </w:p>
          <w:p w14:paraId="530229BE">
            <w:pPr>
              <w:tabs>
                <w:tab w:val="left" w:pos="0"/>
              </w:tabs>
              <w:spacing w:line="400" w:lineRule="exact"/>
              <w:rPr>
                <w:rFonts w:hint="eastAsia" w:ascii="宋体" w:hAnsi="宋体"/>
                <w:color w:val="auto"/>
                <w:szCs w:val="21"/>
                <w:highlight w:val="none"/>
              </w:rPr>
            </w:pPr>
            <w:r>
              <w:rPr>
                <w:rFonts w:ascii="宋体" w:hAnsi="宋体"/>
                <w:color w:val="auto"/>
                <w:szCs w:val="21"/>
                <w:highlight w:val="none"/>
              </w:rPr>
              <w:t>法人代表</w:t>
            </w:r>
          </w:p>
          <w:p w14:paraId="150843C7">
            <w:pPr>
              <w:tabs>
                <w:tab w:val="left" w:pos="0"/>
              </w:tabs>
              <w:spacing w:line="400" w:lineRule="exact"/>
              <w:rPr>
                <w:rFonts w:hint="eastAsia" w:ascii="宋体" w:hAnsi="宋体"/>
                <w:color w:val="auto"/>
                <w:szCs w:val="21"/>
                <w:highlight w:val="none"/>
              </w:rPr>
            </w:pPr>
            <w:r>
              <w:rPr>
                <w:rFonts w:ascii="宋体" w:hAnsi="宋体"/>
                <w:color w:val="auto"/>
                <w:szCs w:val="21"/>
                <w:highlight w:val="none"/>
              </w:rPr>
              <w:t>或其授权代理人（签章）：</w:t>
            </w:r>
          </w:p>
          <w:p w14:paraId="791CF664">
            <w:pPr>
              <w:tabs>
                <w:tab w:val="left" w:pos="0"/>
              </w:tabs>
              <w:spacing w:line="400" w:lineRule="exact"/>
              <w:rPr>
                <w:rFonts w:hint="eastAsia" w:ascii="宋体" w:hAnsi="宋体"/>
                <w:color w:val="auto"/>
                <w:szCs w:val="21"/>
                <w:highlight w:val="none"/>
              </w:rPr>
            </w:pPr>
          </w:p>
          <w:p w14:paraId="67255702">
            <w:pPr>
              <w:tabs>
                <w:tab w:val="left" w:pos="0"/>
              </w:tabs>
              <w:spacing w:line="400" w:lineRule="exact"/>
              <w:rPr>
                <w:rFonts w:hint="eastAsia" w:ascii="宋体" w:hAnsi="宋体"/>
                <w:color w:val="auto"/>
                <w:szCs w:val="21"/>
                <w:highlight w:val="none"/>
              </w:rPr>
            </w:pPr>
          </w:p>
          <w:p w14:paraId="1E87CB29">
            <w:pPr>
              <w:tabs>
                <w:tab w:val="left" w:pos="0"/>
              </w:tabs>
              <w:spacing w:line="400" w:lineRule="exact"/>
              <w:rPr>
                <w:rFonts w:hint="eastAsia" w:ascii="宋体" w:hAnsi="宋体"/>
                <w:color w:val="auto"/>
                <w:szCs w:val="21"/>
                <w:highlight w:val="none"/>
              </w:rPr>
            </w:pPr>
          </w:p>
          <w:p w14:paraId="5A8998CB">
            <w:pPr>
              <w:tabs>
                <w:tab w:val="left" w:pos="0"/>
              </w:tabs>
              <w:spacing w:line="400" w:lineRule="exact"/>
              <w:ind w:firstLine="1470"/>
              <w:rPr>
                <w:rFonts w:hint="eastAsia" w:ascii="宋体" w:hAnsi="宋体"/>
                <w:color w:val="auto"/>
                <w:szCs w:val="21"/>
                <w:highlight w:val="none"/>
              </w:rPr>
            </w:pPr>
            <w:r>
              <w:rPr>
                <w:rFonts w:ascii="宋体" w:hAnsi="宋体"/>
                <w:color w:val="auto"/>
                <w:szCs w:val="21"/>
                <w:highlight w:val="none"/>
              </w:rPr>
              <w:t xml:space="preserve">年    月     日   </w:t>
            </w:r>
          </w:p>
        </w:tc>
      </w:tr>
    </w:tbl>
    <w:p w14:paraId="7AB86562">
      <w:pPr>
        <w:pStyle w:val="39"/>
        <w:spacing w:after="312"/>
        <w:outlineLvl w:val="0"/>
        <w:rPr>
          <w:rFonts w:ascii="Times New Roman" w:hAnsi="Times New Roman"/>
          <w:color w:val="auto"/>
          <w:sz w:val="44"/>
          <w:szCs w:val="44"/>
          <w:highlight w:val="none"/>
          <w:lang w:val="zh-CN"/>
        </w:rPr>
      </w:pPr>
      <w:r>
        <w:rPr>
          <w:rFonts w:ascii="Times New Roman" w:hAnsi="Times New Roman"/>
          <w:color w:val="auto"/>
          <w:sz w:val="44"/>
          <w:szCs w:val="44"/>
          <w:highlight w:val="none"/>
        </w:rPr>
        <w:br w:type="column"/>
      </w:r>
      <w:bookmarkEnd w:id="67"/>
      <w:bookmarkEnd w:id="68"/>
      <w:r>
        <w:rPr>
          <w:rFonts w:ascii="Times New Roman" w:hAnsi="Times New Roman"/>
          <w:color w:val="auto"/>
          <w:sz w:val="44"/>
          <w:szCs w:val="44"/>
          <w:highlight w:val="none"/>
          <w:lang w:val="zh-CN"/>
        </w:rPr>
        <w:t>第</w:t>
      </w:r>
      <w:r>
        <w:rPr>
          <w:rFonts w:hint="eastAsia" w:ascii="Times New Roman" w:hAnsi="Times New Roman"/>
          <w:color w:val="auto"/>
          <w:sz w:val="44"/>
          <w:szCs w:val="44"/>
          <w:highlight w:val="none"/>
        </w:rPr>
        <w:t>六</w:t>
      </w:r>
      <w:r>
        <w:rPr>
          <w:rFonts w:ascii="Times New Roman" w:hAnsi="Times New Roman"/>
          <w:color w:val="auto"/>
          <w:sz w:val="44"/>
          <w:szCs w:val="44"/>
          <w:highlight w:val="none"/>
          <w:lang w:val="zh-CN"/>
        </w:rPr>
        <w:t>章 评标办法及评分标准</w:t>
      </w:r>
      <w:bookmarkEnd w:id="69"/>
      <w:bookmarkEnd w:id="70"/>
    </w:p>
    <w:p w14:paraId="0F165C50">
      <w:pPr>
        <w:spacing w:line="440" w:lineRule="atLeast"/>
        <w:ind w:firstLine="422"/>
        <w:rPr>
          <w:b/>
          <w:bCs/>
          <w:color w:val="auto"/>
          <w:szCs w:val="21"/>
          <w:highlight w:val="none"/>
        </w:rPr>
      </w:pPr>
      <w:bookmarkStart w:id="71" w:name="_Toc8598"/>
      <w:bookmarkStart w:id="72" w:name="_Toc10317"/>
      <w:r>
        <w:rPr>
          <w:rFonts w:hint="eastAsia"/>
          <w:b/>
          <w:bCs/>
          <w:color w:val="auto"/>
          <w:szCs w:val="21"/>
          <w:highlight w:val="none"/>
        </w:rPr>
        <w:t>一、评标办法：</w:t>
      </w:r>
      <w:bookmarkEnd w:id="71"/>
      <w:bookmarkEnd w:id="72"/>
    </w:p>
    <w:p w14:paraId="67E01857">
      <w:pPr>
        <w:spacing w:line="440" w:lineRule="atLeast"/>
        <w:ind w:firstLine="420"/>
        <w:rPr>
          <w:color w:val="auto"/>
          <w:szCs w:val="21"/>
          <w:highlight w:val="none"/>
        </w:rPr>
      </w:pPr>
      <w:r>
        <w:rPr>
          <w:rFonts w:hint="eastAsia"/>
          <w:color w:val="auto"/>
          <w:szCs w:val="21"/>
          <w:highlight w:val="none"/>
        </w:rPr>
        <w:t>1.本次评标采用综合评分法，综合评分法是指投标文件满足投标文件全部实质性要求，且按照评审因素的量化指标评审得分最高的投标人为中标人的评标方法。</w:t>
      </w:r>
    </w:p>
    <w:p w14:paraId="1B12B30D">
      <w:pPr>
        <w:spacing w:line="440" w:lineRule="atLeast"/>
        <w:ind w:firstLine="420"/>
        <w:rPr>
          <w:color w:val="auto"/>
          <w:szCs w:val="21"/>
          <w:highlight w:val="none"/>
        </w:rPr>
      </w:pPr>
      <w:r>
        <w:rPr>
          <w:color w:val="auto"/>
          <w:szCs w:val="21"/>
          <w:highlight w:val="none"/>
        </w:rPr>
        <w:t>2.</w:t>
      </w:r>
      <w:r>
        <w:rPr>
          <w:rFonts w:hint="eastAsia"/>
          <w:color w:val="auto"/>
          <w:szCs w:val="21"/>
          <w:highlight w:val="none"/>
        </w:rPr>
        <w:t>采用综合评分法的，评标结果按评审后得分由高到低顺序排列。得分相同的，按投标报价由低到高顺序排列，以实际投标报价较低的优先作为中标人；得分且实际投标报价相同的，则由采购人以抽签方式确定中标人。</w:t>
      </w:r>
    </w:p>
    <w:p w14:paraId="376BAD59">
      <w:pPr>
        <w:spacing w:line="440" w:lineRule="atLeast"/>
        <w:ind w:firstLine="420"/>
        <w:rPr>
          <w:color w:val="auto"/>
          <w:szCs w:val="21"/>
          <w:highlight w:val="none"/>
        </w:rPr>
      </w:pPr>
      <w:r>
        <w:rPr>
          <w:color w:val="auto"/>
          <w:szCs w:val="21"/>
          <w:highlight w:val="none"/>
        </w:rPr>
        <w:t>3.</w:t>
      </w:r>
      <w:r>
        <w:rPr>
          <w:rFonts w:hint="eastAsia"/>
          <w:color w:val="auto"/>
          <w:szCs w:val="21"/>
          <w:highlight w:val="none"/>
        </w:rPr>
        <w:t>评标时，评标委员会各成员应当独立对每个投标人的投标文件进行评价，并汇总每个投标人的得分，按算术平均方法计算出每个投标人的得分（计算结果四舍五入，保留两位小数点）；报价得分直接计算取得（因落实政府采购政策进行价格调整的，以调整后的价格计算评标基准价和投标报价），二者相加为投标人的总得分。</w:t>
      </w:r>
    </w:p>
    <w:p w14:paraId="38E60EF1">
      <w:pPr>
        <w:spacing w:line="440" w:lineRule="atLeast"/>
        <w:ind w:firstLine="420"/>
        <w:rPr>
          <w:color w:val="auto"/>
          <w:szCs w:val="21"/>
          <w:highlight w:val="none"/>
        </w:rPr>
      </w:pPr>
      <w:r>
        <w:rPr>
          <w:color w:val="auto"/>
          <w:szCs w:val="21"/>
          <w:highlight w:val="none"/>
        </w:rPr>
        <w:t>4.</w:t>
      </w:r>
      <w:r>
        <w:rPr>
          <w:rFonts w:hint="eastAsia"/>
          <w:color w:val="auto"/>
          <w:szCs w:val="21"/>
          <w:highlight w:val="none"/>
        </w:rPr>
        <w:t>针对中小型企业的评审：</w:t>
      </w:r>
    </w:p>
    <w:p w14:paraId="6CD804B2">
      <w:pPr>
        <w:spacing w:line="440" w:lineRule="atLeast"/>
        <w:ind w:firstLine="422"/>
        <w:rPr>
          <w:b/>
          <w:bCs/>
          <w:color w:val="auto"/>
          <w:szCs w:val="21"/>
          <w:highlight w:val="none"/>
        </w:rPr>
      </w:pPr>
      <w:r>
        <w:rPr>
          <w:rFonts w:hint="eastAsia"/>
          <w:b/>
          <w:bCs/>
          <w:color w:val="auto"/>
          <w:szCs w:val="21"/>
          <w:highlight w:val="none"/>
        </w:rPr>
        <w:t>本项目专门面向中小企业采购的项目或者采购包，不再执行价格评审优惠的扶持政策。</w:t>
      </w:r>
    </w:p>
    <w:p w14:paraId="36391601">
      <w:pPr>
        <w:spacing w:line="440" w:lineRule="atLeast"/>
        <w:ind w:firstLine="422"/>
        <w:rPr>
          <w:b/>
          <w:bCs/>
          <w:color w:val="auto"/>
          <w:szCs w:val="21"/>
          <w:highlight w:val="none"/>
        </w:rPr>
      </w:pPr>
      <w:r>
        <w:rPr>
          <w:rFonts w:hint="eastAsia"/>
          <w:b/>
          <w:bCs/>
          <w:color w:val="auto"/>
          <w:szCs w:val="21"/>
          <w:highlight w:val="none"/>
        </w:rPr>
        <w:t>二、评分标准：</w:t>
      </w:r>
    </w:p>
    <w:p w14:paraId="470DE939">
      <w:pPr>
        <w:spacing w:line="440" w:lineRule="atLeast"/>
        <w:ind w:firstLine="420"/>
        <w:rPr>
          <w:color w:val="auto"/>
          <w:szCs w:val="21"/>
          <w:highlight w:val="none"/>
        </w:rPr>
      </w:pPr>
      <w:r>
        <w:rPr>
          <w:rFonts w:hint="eastAsia"/>
          <w:color w:val="auto"/>
          <w:szCs w:val="21"/>
          <w:highlight w:val="none"/>
        </w:rPr>
        <w:t>总分值为100分，评审因素及各比重如下：价格分值占总分值的比重为15%（权重），技术与方案及其它占85%（权重）。</w:t>
      </w:r>
    </w:p>
    <w:p w14:paraId="7BB906C5">
      <w:pPr>
        <w:spacing w:line="440" w:lineRule="atLeast"/>
        <w:ind w:firstLine="422"/>
        <w:rPr>
          <w:b/>
          <w:bCs/>
          <w:color w:val="auto"/>
          <w:szCs w:val="21"/>
          <w:highlight w:val="none"/>
        </w:rPr>
      </w:pPr>
      <w:r>
        <w:rPr>
          <w:rFonts w:hint="eastAsia"/>
          <w:b/>
          <w:bCs/>
          <w:color w:val="auto"/>
          <w:szCs w:val="21"/>
          <w:highlight w:val="none"/>
        </w:rPr>
        <w:t>（一）价格分（15分）</w:t>
      </w:r>
    </w:p>
    <w:p w14:paraId="0445B652">
      <w:pPr>
        <w:spacing w:line="440" w:lineRule="atLeast"/>
        <w:ind w:firstLine="420"/>
        <w:rPr>
          <w:color w:val="auto"/>
          <w:szCs w:val="21"/>
          <w:highlight w:val="none"/>
        </w:rPr>
      </w:pPr>
      <w:r>
        <w:rPr>
          <w:rFonts w:hint="eastAsia"/>
          <w:color w:val="auto"/>
          <w:szCs w:val="21"/>
          <w:highlight w:val="none"/>
        </w:rPr>
        <w:t>1</w:t>
      </w:r>
      <w:r>
        <w:rPr>
          <w:color w:val="auto"/>
          <w:szCs w:val="21"/>
          <w:highlight w:val="none"/>
        </w:rPr>
        <w:t>.</w:t>
      </w:r>
      <w:r>
        <w:rPr>
          <w:rFonts w:hint="eastAsia"/>
          <w:color w:val="auto"/>
          <w:szCs w:val="21"/>
          <w:highlight w:val="none"/>
        </w:rPr>
        <w:t>投标总报价低于或等于财政预算价格的，为有效投标报价。超财政预算的投标报价为无效投标报价。无效投标报价的投标文件不进行评审，也不得中标。</w:t>
      </w:r>
    </w:p>
    <w:p w14:paraId="017019EC">
      <w:pPr>
        <w:spacing w:line="440" w:lineRule="atLeast"/>
        <w:ind w:firstLine="420"/>
        <w:rPr>
          <w:color w:val="auto"/>
          <w:szCs w:val="21"/>
          <w:highlight w:val="none"/>
        </w:rPr>
      </w:pPr>
      <w:r>
        <w:rPr>
          <w:rFonts w:hint="eastAsia"/>
          <w:color w:val="auto"/>
          <w:szCs w:val="21"/>
          <w:highlight w:val="none"/>
        </w:rPr>
        <w:t>2</w:t>
      </w:r>
      <w:r>
        <w:rPr>
          <w:color w:val="auto"/>
          <w:szCs w:val="21"/>
          <w:highlight w:val="none"/>
        </w:rPr>
        <w:t>.</w:t>
      </w:r>
      <w:r>
        <w:rPr>
          <w:rFonts w:hint="eastAsia"/>
          <w:color w:val="auto"/>
          <w:szCs w:val="21"/>
          <w:highlight w:val="none"/>
        </w:rPr>
        <w:t>价格分采用低价优先法计算，即满足采购文件要求且投标价格最低的投标报价为评标基准价，其价格分为满分，即15分。其他响应单位的价格分按照下列公式计算（计算结果四舍五入保留两位小数）。</w:t>
      </w:r>
    </w:p>
    <w:p w14:paraId="449F13B4">
      <w:pPr>
        <w:spacing w:line="440" w:lineRule="atLeast"/>
        <w:ind w:firstLine="420"/>
        <w:rPr>
          <w:color w:val="auto"/>
          <w:szCs w:val="21"/>
          <w:highlight w:val="none"/>
        </w:rPr>
      </w:pPr>
      <w:r>
        <w:rPr>
          <w:rFonts w:hint="eastAsia"/>
          <w:color w:val="auto"/>
          <w:szCs w:val="21"/>
          <w:highlight w:val="none"/>
        </w:rPr>
        <w:t>投标报价得分=（评标基准价/投标报价）×价格权值×100；（价格权值为15%）</w:t>
      </w:r>
    </w:p>
    <w:p w14:paraId="25C3B73C">
      <w:pPr>
        <w:spacing w:line="440" w:lineRule="atLeast"/>
        <w:ind w:firstLine="420"/>
        <w:rPr>
          <w:color w:val="auto"/>
          <w:szCs w:val="21"/>
          <w:highlight w:val="none"/>
        </w:rPr>
      </w:pPr>
      <w:r>
        <w:rPr>
          <w:rFonts w:hint="eastAsia"/>
          <w:color w:val="auto"/>
          <w:szCs w:val="21"/>
          <w:highlight w:val="none"/>
        </w:rPr>
        <w:t>3</w:t>
      </w:r>
      <w:r>
        <w:rPr>
          <w:color w:val="auto"/>
          <w:szCs w:val="21"/>
          <w:highlight w:val="none"/>
        </w:rPr>
        <w:t>.</w:t>
      </w:r>
      <w:r>
        <w:rPr>
          <w:rFonts w:hint="eastAsia"/>
          <w:color w:val="auto"/>
          <w:szCs w:val="21"/>
          <w:highlight w:val="none"/>
        </w:rPr>
        <w:t>报价修正规则</w:t>
      </w:r>
    </w:p>
    <w:p w14:paraId="60594BBE">
      <w:pPr>
        <w:spacing w:line="440" w:lineRule="atLeast"/>
        <w:ind w:firstLine="420"/>
        <w:rPr>
          <w:color w:val="auto"/>
          <w:highlight w:val="none"/>
        </w:rPr>
      </w:pPr>
      <w:r>
        <w:rPr>
          <w:rFonts w:hint="eastAsia"/>
          <w:color w:val="auto"/>
          <w:szCs w:val="21"/>
          <w:highlight w:val="none"/>
        </w:rPr>
        <w:t>在评审中，对投标报价出现前后不一致的，除采购文件另有规定外，按照下列规定修正</w:t>
      </w:r>
      <w:r>
        <w:rPr>
          <w:rFonts w:hint="eastAsia"/>
          <w:color w:val="auto"/>
          <w:highlight w:val="none"/>
        </w:rPr>
        <w:t>：</w:t>
      </w:r>
    </w:p>
    <w:p w14:paraId="5CBB94C9">
      <w:pPr>
        <w:spacing w:line="440" w:lineRule="atLeast"/>
        <w:ind w:firstLine="420"/>
        <w:rPr>
          <w:color w:val="auto"/>
          <w:highlight w:val="none"/>
        </w:rPr>
      </w:pPr>
      <w:r>
        <w:rPr>
          <w:rFonts w:hint="eastAsia"/>
          <w:color w:val="auto"/>
          <w:highlight w:val="none"/>
        </w:rPr>
        <w:t>（1）投标文件中报价表内容与投标文件中明细表内容不一致的，以报价表为准。</w:t>
      </w:r>
    </w:p>
    <w:p w14:paraId="2347B7EA">
      <w:pPr>
        <w:spacing w:line="440" w:lineRule="atLeast"/>
        <w:ind w:firstLine="420"/>
        <w:rPr>
          <w:color w:val="auto"/>
          <w:highlight w:val="none"/>
        </w:rPr>
      </w:pPr>
      <w:r>
        <w:rPr>
          <w:rFonts w:hint="eastAsia"/>
          <w:color w:val="auto"/>
          <w:highlight w:val="none"/>
        </w:rPr>
        <w:t>（2）投标文件的大写金额和小写金额不一致的，以大写金额为准。</w:t>
      </w:r>
    </w:p>
    <w:p w14:paraId="11675E22">
      <w:pPr>
        <w:spacing w:line="440" w:lineRule="atLeast"/>
        <w:ind w:firstLine="420"/>
        <w:rPr>
          <w:color w:val="auto"/>
          <w:highlight w:val="none"/>
        </w:rPr>
      </w:pPr>
      <w:r>
        <w:rPr>
          <w:rFonts w:hint="eastAsia"/>
          <w:color w:val="auto"/>
          <w:highlight w:val="none"/>
        </w:rPr>
        <w:t>（3）单价金额小数点或者百分比有明显错位的，以报价表的总价为准，并修改单价。</w:t>
      </w:r>
    </w:p>
    <w:p w14:paraId="4592F4D3">
      <w:pPr>
        <w:spacing w:line="440" w:lineRule="atLeast"/>
        <w:ind w:firstLine="420"/>
        <w:rPr>
          <w:color w:val="auto"/>
          <w:highlight w:val="none"/>
        </w:rPr>
      </w:pPr>
      <w:r>
        <w:rPr>
          <w:rFonts w:hint="eastAsia"/>
          <w:color w:val="auto"/>
          <w:highlight w:val="none"/>
        </w:rPr>
        <w:t>（4）总价金额与按单价汇总金额不一致的，以单价金额计算结果为准。</w:t>
      </w:r>
    </w:p>
    <w:p w14:paraId="31C71E84">
      <w:pPr>
        <w:spacing w:line="440" w:lineRule="atLeast"/>
        <w:ind w:firstLine="420"/>
        <w:rPr>
          <w:color w:val="auto"/>
          <w:highlight w:val="none"/>
        </w:rPr>
      </w:pPr>
      <w:r>
        <w:rPr>
          <w:rFonts w:hint="eastAsia"/>
          <w:color w:val="auto"/>
          <w:highlight w:val="none"/>
        </w:rPr>
        <w:t>同时出现两种以上不一致的，按照前款规定的顺序修正。</w:t>
      </w:r>
    </w:p>
    <w:p w14:paraId="3EEA7BF4">
      <w:pPr>
        <w:spacing w:line="440" w:lineRule="atLeast"/>
        <w:ind w:firstLine="420"/>
        <w:rPr>
          <w:color w:val="auto"/>
          <w:highlight w:val="none"/>
        </w:rPr>
      </w:pPr>
      <w:r>
        <w:rPr>
          <w:rFonts w:hint="eastAsia"/>
          <w:color w:val="auto"/>
          <w:highlight w:val="none"/>
        </w:rPr>
        <w:t>按上述方法调整后的投标报价经投标人确认后产生约束力，投标人不确认的，其投标无效。</w:t>
      </w:r>
    </w:p>
    <w:p w14:paraId="44A21CDA">
      <w:pPr>
        <w:pStyle w:val="21"/>
        <w:spacing w:line="440" w:lineRule="exact"/>
        <w:rPr>
          <w:rFonts w:hint="eastAsia" w:hAnsi="宋体" w:cs="宋体"/>
          <w:b/>
          <w:color w:val="auto"/>
          <w:szCs w:val="21"/>
          <w:highlight w:val="none"/>
        </w:rPr>
      </w:pPr>
      <w:r>
        <w:rPr>
          <w:rFonts w:hint="eastAsia" w:hAnsi="宋体" w:cs="宋体"/>
          <w:b/>
          <w:color w:val="auto"/>
          <w:szCs w:val="21"/>
          <w:highlight w:val="none"/>
        </w:rPr>
        <w:t>（二）技术分（85分）</w:t>
      </w:r>
    </w:p>
    <w:tbl>
      <w:tblPr>
        <w:tblStyle w:val="43"/>
        <w:tblW w:w="9273" w:type="dxa"/>
        <w:tblInd w:w="-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2"/>
        <w:gridCol w:w="1476"/>
        <w:gridCol w:w="6380"/>
        <w:gridCol w:w="665"/>
      </w:tblGrid>
      <w:tr w14:paraId="38B7A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0" w:hRule="atLeast"/>
        </w:trPr>
        <w:tc>
          <w:tcPr>
            <w:tcW w:w="752" w:type="dxa"/>
            <w:vAlign w:val="center"/>
          </w:tcPr>
          <w:p w14:paraId="1A39AF8A">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lang w:bidi="ar"/>
              </w:rPr>
              <w:t>序号</w:t>
            </w:r>
          </w:p>
        </w:tc>
        <w:tc>
          <w:tcPr>
            <w:tcW w:w="1476" w:type="dxa"/>
            <w:vAlign w:val="center"/>
          </w:tcPr>
          <w:p w14:paraId="320FFA87">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lang w:bidi="ar"/>
              </w:rPr>
              <w:t>评分项目</w:t>
            </w:r>
          </w:p>
        </w:tc>
        <w:tc>
          <w:tcPr>
            <w:tcW w:w="6380" w:type="dxa"/>
            <w:vAlign w:val="center"/>
          </w:tcPr>
          <w:p w14:paraId="2A0AEC21">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lang w:bidi="ar"/>
              </w:rPr>
              <w:t>内容</w:t>
            </w:r>
          </w:p>
        </w:tc>
        <w:tc>
          <w:tcPr>
            <w:tcW w:w="665" w:type="dxa"/>
            <w:vAlign w:val="center"/>
          </w:tcPr>
          <w:p w14:paraId="001174BA">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lang w:bidi="ar"/>
              </w:rPr>
              <w:t>分值</w:t>
            </w:r>
          </w:p>
        </w:tc>
      </w:tr>
      <w:tr w14:paraId="689F2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2" w:type="dxa"/>
            <w:vAlign w:val="center"/>
          </w:tcPr>
          <w:p w14:paraId="77E83C35">
            <w:pPr>
              <w:spacing w:line="360" w:lineRule="auto"/>
              <w:jc w:val="center"/>
              <w:rPr>
                <w:rFonts w:hint="eastAsia" w:ascii="宋体" w:hAnsi="宋体" w:cs="宋体"/>
                <w:b/>
                <w:bCs/>
                <w:color w:val="auto"/>
                <w:szCs w:val="21"/>
                <w:highlight w:val="none"/>
              </w:rPr>
            </w:pPr>
            <w:r>
              <w:rPr>
                <w:rFonts w:hint="eastAsia" w:ascii="宋体" w:hAnsi="宋体" w:cs="宋体"/>
                <w:b/>
                <w:bCs/>
                <w:color w:val="auto"/>
                <w:szCs w:val="21"/>
                <w:highlight w:val="none"/>
              </w:rPr>
              <w:t>一、</w:t>
            </w:r>
          </w:p>
        </w:tc>
        <w:tc>
          <w:tcPr>
            <w:tcW w:w="8521" w:type="dxa"/>
            <w:gridSpan w:val="3"/>
            <w:vAlign w:val="center"/>
          </w:tcPr>
          <w:p w14:paraId="235AACAD">
            <w:pPr>
              <w:pStyle w:val="230"/>
              <w:spacing w:line="360" w:lineRule="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服务技术方案（72分）</w:t>
            </w:r>
          </w:p>
        </w:tc>
      </w:tr>
      <w:tr w14:paraId="52BB4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2" w:type="dxa"/>
            <w:vMerge w:val="restart"/>
            <w:vAlign w:val="center"/>
          </w:tcPr>
          <w:p w14:paraId="3BA3E71A">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w:t>
            </w:r>
          </w:p>
          <w:p w14:paraId="19E5935C">
            <w:pPr>
              <w:spacing w:line="360" w:lineRule="auto"/>
              <w:jc w:val="center"/>
              <w:rPr>
                <w:rFonts w:hint="eastAsia" w:ascii="宋体" w:hAnsi="宋体" w:cs="宋体"/>
                <w:color w:val="auto"/>
                <w:szCs w:val="21"/>
                <w:highlight w:val="none"/>
              </w:rPr>
            </w:pPr>
          </w:p>
        </w:tc>
        <w:tc>
          <w:tcPr>
            <w:tcW w:w="1476" w:type="dxa"/>
            <w:vMerge w:val="restart"/>
            <w:vAlign w:val="center"/>
          </w:tcPr>
          <w:p w14:paraId="1752EBC5">
            <w:pPr>
              <w:pStyle w:val="25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服务管理工作组织计划方案及管理方案（26分）</w:t>
            </w:r>
          </w:p>
          <w:p w14:paraId="632B92A5">
            <w:pPr>
              <w:spacing w:line="360" w:lineRule="auto"/>
              <w:rPr>
                <w:rFonts w:hint="eastAsia" w:ascii="宋体" w:hAnsi="宋体" w:cs="宋体"/>
                <w:color w:val="auto"/>
                <w:szCs w:val="21"/>
                <w:highlight w:val="none"/>
              </w:rPr>
            </w:pPr>
          </w:p>
        </w:tc>
        <w:tc>
          <w:tcPr>
            <w:tcW w:w="6380" w:type="dxa"/>
            <w:vAlign w:val="center"/>
          </w:tcPr>
          <w:p w14:paraId="19A5B8FB">
            <w:pPr>
              <w:pStyle w:val="255"/>
              <w:spacing w:line="360" w:lineRule="auto"/>
              <w:rPr>
                <w:rFonts w:hAnsi="Times New Roman" w:eastAsia="宋体"/>
                <w:color w:val="auto"/>
                <w:sz w:val="21"/>
                <w:szCs w:val="21"/>
                <w:highlight w:val="none"/>
                <w:shd w:val="clear" w:color="auto" w:fill="FFFFFF"/>
              </w:rPr>
            </w:pPr>
            <w:r>
              <w:rPr>
                <w:rFonts w:hAnsi="Times New Roman" w:eastAsia="宋体"/>
                <w:color w:val="auto"/>
                <w:sz w:val="21"/>
                <w:szCs w:val="21"/>
                <w:highlight w:val="none"/>
                <w:shd w:val="clear" w:color="auto" w:fill="FFFFFF"/>
              </w:rPr>
              <w:t>1.1</w:t>
            </w:r>
            <w:r>
              <w:rPr>
                <w:rFonts w:hint="eastAsia" w:hAnsi="Times New Roman" w:eastAsia="宋体"/>
                <w:color w:val="auto"/>
                <w:sz w:val="21"/>
                <w:szCs w:val="21"/>
                <w:highlight w:val="none"/>
                <w:shd w:val="clear" w:color="auto" w:fill="FFFFFF"/>
              </w:rPr>
              <w:t>、对项目理解程度及服务需求的响应（7分）</w:t>
            </w:r>
          </w:p>
          <w:p w14:paraId="05B64463">
            <w:pPr>
              <w:pStyle w:val="255"/>
              <w:spacing w:line="360" w:lineRule="auto"/>
              <w:rPr>
                <w:rFonts w:hint="eastAsia" w:hAnsi="宋体" w:eastAsia="宋体" w:cs="宋体"/>
                <w:color w:val="auto"/>
                <w:sz w:val="21"/>
                <w:szCs w:val="21"/>
                <w:highlight w:val="none"/>
              </w:rPr>
            </w:pPr>
            <w:r>
              <w:rPr>
                <w:rFonts w:hint="eastAsia" w:hAnsi="Times New Roman" w:eastAsia="宋体"/>
                <w:color w:val="auto"/>
                <w:sz w:val="21"/>
                <w:szCs w:val="21"/>
                <w:highlight w:val="none"/>
              </w:rPr>
              <w:t>综合评定优秀，管理思路详细，响应程度高的得7分；综合评定良好，管理思路较详细，响应程度良好的得5分；综合评定一般，管理思路简单，响应程度一般的得3分；综合评定较差，管理思路较差，基本响应的得1分；</w:t>
            </w:r>
            <w:r>
              <w:rPr>
                <w:rFonts w:hint="eastAsia" w:hAnsi="宋体" w:eastAsia="宋体" w:cs="宋体"/>
                <w:color w:val="auto"/>
                <w:sz w:val="21"/>
                <w:szCs w:val="21"/>
                <w:highlight w:val="none"/>
              </w:rPr>
              <w:t>无相关内容不得分。</w:t>
            </w:r>
          </w:p>
        </w:tc>
        <w:tc>
          <w:tcPr>
            <w:tcW w:w="665" w:type="dxa"/>
            <w:vAlign w:val="center"/>
          </w:tcPr>
          <w:p w14:paraId="3C6A3D37">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7</w:t>
            </w:r>
          </w:p>
        </w:tc>
      </w:tr>
      <w:tr w14:paraId="0B3A6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2" w:type="dxa"/>
            <w:vMerge w:val="continue"/>
            <w:vAlign w:val="center"/>
          </w:tcPr>
          <w:p w14:paraId="7616F9EC">
            <w:pPr>
              <w:spacing w:line="360" w:lineRule="auto"/>
              <w:jc w:val="center"/>
              <w:rPr>
                <w:rFonts w:hint="eastAsia" w:ascii="宋体" w:hAnsi="宋体" w:cs="宋体"/>
                <w:color w:val="auto"/>
                <w:szCs w:val="21"/>
                <w:highlight w:val="none"/>
              </w:rPr>
            </w:pPr>
          </w:p>
        </w:tc>
        <w:tc>
          <w:tcPr>
            <w:tcW w:w="1476" w:type="dxa"/>
            <w:vMerge w:val="continue"/>
            <w:vAlign w:val="center"/>
          </w:tcPr>
          <w:p w14:paraId="6A7EC632">
            <w:pPr>
              <w:spacing w:line="360" w:lineRule="auto"/>
              <w:rPr>
                <w:rFonts w:hint="eastAsia" w:ascii="宋体" w:hAnsi="宋体" w:cs="宋体"/>
                <w:color w:val="auto"/>
                <w:szCs w:val="21"/>
                <w:highlight w:val="none"/>
              </w:rPr>
            </w:pPr>
          </w:p>
        </w:tc>
        <w:tc>
          <w:tcPr>
            <w:tcW w:w="6380" w:type="dxa"/>
            <w:vAlign w:val="center"/>
          </w:tcPr>
          <w:p w14:paraId="1C8668EC">
            <w:pPr>
              <w:spacing w:line="360" w:lineRule="auto"/>
              <w:rPr>
                <w:rFonts w:ascii="宋体"/>
                <w:color w:val="auto"/>
                <w:szCs w:val="21"/>
                <w:highlight w:val="none"/>
              </w:rPr>
            </w:pPr>
            <w:r>
              <w:rPr>
                <w:rFonts w:ascii="宋体" w:hAnsi="宋体"/>
                <w:color w:val="auto"/>
                <w:szCs w:val="21"/>
                <w:highlight w:val="none"/>
              </w:rPr>
              <w:t>1.2</w:t>
            </w:r>
            <w:r>
              <w:rPr>
                <w:rFonts w:hint="eastAsia" w:ascii="宋体" w:hAnsi="宋体"/>
                <w:color w:val="auto"/>
                <w:szCs w:val="21"/>
                <w:highlight w:val="none"/>
              </w:rPr>
              <w:t>、服务管理运作流程设计和工作组织实施方案情况比较（7分）</w:t>
            </w:r>
          </w:p>
          <w:p w14:paraId="6B73E9C4">
            <w:pPr>
              <w:pStyle w:val="255"/>
              <w:spacing w:line="360" w:lineRule="auto"/>
              <w:rPr>
                <w:rFonts w:hAnsi="Times New Roman" w:eastAsia="宋体"/>
                <w:color w:val="auto"/>
                <w:sz w:val="21"/>
                <w:szCs w:val="21"/>
                <w:highlight w:val="none"/>
              </w:rPr>
            </w:pPr>
            <w:r>
              <w:rPr>
                <w:rFonts w:hint="eastAsia" w:hAnsi="Times New Roman" w:eastAsia="宋体"/>
                <w:color w:val="auto"/>
                <w:sz w:val="21"/>
                <w:szCs w:val="21"/>
                <w:highlight w:val="none"/>
              </w:rPr>
              <w:t>综合评定优秀，方案详细，可行性高的得7分；综合评定良好，方案较详细，可行性良好的得5分；综合评定一般，方案简单，可行性一般的得3分；综合评定较差，方案较差，基本无可行性的得1分；</w:t>
            </w:r>
            <w:r>
              <w:rPr>
                <w:rFonts w:hint="eastAsia" w:hAnsi="宋体" w:eastAsia="宋体" w:cs="宋体"/>
                <w:color w:val="auto"/>
                <w:sz w:val="21"/>
                <w:szCs w:val="21"/>
                <w:highlight w:val="none"/>
              </w:rPr>
              <w:t>无相关内容不得分。</w:t>
            </w:r>
          </w:p>
        </w:tc>
        <w:tc>
          <w:tcPr>
            <w:tcW w:w="665" w:type="dxa"/>
            <w:vAlign w:val="center"/>
          </w:tcPr>
          <w:p w14:paraId="58DC01B5">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7</w:t>
            </w:r>
          </w:p>
        </w:tc>
      </w:tr>
      <w:tr w14:paraId="52391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2" w:type="dxa"/>
            <w:vMerge w:val="continue"/>
            <w:vAlign w:val="center"/>
          </w:tcPr>
          <w:p w14:paraId="5988C656">
            <w:pPr>
              <w:spacing w:line="360" w:lineRule="auto"/>
              <w:jc w:val="center"/>
              <w:rPr>
                <w:rFonts w:hint="eastAsia" w:ascii="宋体" w:hAnsi="宋体" w:cs="宋体"/>
                <w:color w:val="auto"/>
                <w:szCs w:val="21"/>
                <w:highlight w:val="none"/>
              </w:rPr>
            </w:pPr>
          </w:p>
        </w:tc>
        <w:tc>
          <w:tcPr>
            <w:tcW w:w="1476" w:type="dxa"/>
            <w:vMerge w:val="continue"/>
            <w:vAlign w:val="center"/>
          </w:tcPr>
          <w:p w14:paraId="6F2DB438">
            <w:pPr>
              <w:spacing w:line="360" w:lineRule="auto"/>
              <w:rPr>
                <w:rFonts w:hint="eastAsia" w:ascii="宋体" w:hAnsi="宋体" w:cs="宋体"/>
                <w:color w:val="auto"/>
                <w:szCs w:val="21"/>
                <w:highlight w:val="none"/>
              </w:rPr>
            </w:pPr>
          </w:p>
        </w:tc>
        <w:tc>
          <w:tcPr>
            <w:tcW w:w="6380" w:type="dxa"/>
            <w:vAlign w:val="center"/>
          </w:tcPr>
          <w:p w14:paraId="4767C686">
            <w:pPr>
              <w:pStyle w:val="255"/>
              <w:spacing w:line="360" w:lineRule="auto"/>
              <w:rPr>
                <w:rFonts w:hAnsi="Times New Roman" w:eastAsia="宋体"/>
                <w:color w:val="auto"/>
                <w:sz w:val="21"/>
                <w:szCs w:val="21"/>
                <w:highlight w:val="none"/>
              </w:rPr>
            </w:pPr>
            <w:r>
              <w:rPr>
                <w:rFonts w:hAnsi="Times New Roman" w:eastAsia="宋体"/>
                <w:color w:val="auto"/>
                <w:sz w:val="21"/>
                <w:szCs w:val="21"/>
                <w:highlight w:val="none"/>
              </w:rPr>
              <w:t>1.3</w:t>
            </w:r>
            <w:r>
              <w:rPr>
                <w:rFonts w:hint="eastAsia" w:hAnsi="Times New Roman" w:eastAsia="宋体"/>
                <w:color w:val="auto"/>
                <w:sz w:val="21"/>
                <w:szCs w:val="21"/>
                <w:highlight w:val="none"/>
              </w:rPr>
              <w:t>、服务的重点难点和解决措施方案情况比较（7分）</w:t>
            </w:r>
          </w:p>
          <w:p w14:paraId="7337D805">
            <w:pPr>
              <w:pStyle w:val="255"/>
              <w:spacing w:line="360" w:lineRule="auto"/>
              <w:rPr>
                <w:rFonts w:hAnsi="Times New Roman" w:eastAsia="宋体"/>
                <w:color w:val="auto"/>
                <w:sz w:val="21"/>
                <w:szCs w:val="21"/>
                <w:highlight w:val="none"/>
              </w:rPr>
            </w:pPr>
            <w:r>
              <w:rPr>
                <w:rFonts w:hint="eastAsia" w:hAnsi="Times New Roman" w:eastAsia="宋体"/>
                <w:color w:val="auto"/>
                <w:sz w:val="21"/>
                <w:szCs w:val="21"/>
                <w:highlight w:val="none"/>
              </w:rPr>
              <w:t>综合评定优秀，方案详细，可行性高的得7分；综合评定良好，方案较详细，可行性良好的得5分；综合评定一般，方案简单，可行性一般的得3分；综合评定较差，方案较差，基本无可行性的得1分；</w:t>
            </w:r>
            <w:r>
              <w:rPr>
                <w:rFonts w:hint="eastAsia" w:hAnsi="宋体" w:eastAsia="宋体" w:cs="宋体"/>
                <w:color w:val="auto"/>
                <w:sz w:val="21"/>
                <w:szCs w:val="21"/>
                <w:highlight w:val="none"/>
              </w:rPr>
              <w:t>无相关内容不得分。</w:t>
            </w:r>
          </w:p>
        </w:tc>
        <w:tc>
          <w:tcPr>
            <w:tcW w:w="665" w:type="dxa"/>
            <w:vAlign w:val="center"/>
          </w:tcPr>
          <w:p w14:paraId="406733C0">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7</w:t>
            </w:r>
          </w:p>
        </w:tc>
      </w:tr>
      <w:tr w14:paraId="0F29A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2" w:type="dxa"/>
            <w:vMerge w:val="continue"/>
            <w:vAlign w:val="center"/>
          </w:tcPr>
          <w:p w14:paraId="724E65C5">
            <w:pPr>
              <w:spacing w:line="360" w:lineRule="auto"/>
              <w:jc w:val="center"/>
              <w:rPr>
                <w:rFonts w:hint="eastAsia" w:ascii="宋体" w:hAnsi="宋体" w:cs="宋体"/>
                <w:color w:val="auto"/>
                <w:szCs w:val="21"/>
                <w:highlight w:val="none"/>
              </w:rPr>
            </w:pPr>
          </w:p>
        </w:tc>
        <w:tc>
          <w:tcPr>
            <w:tcW w:w="1476" w:type="dxa"/>
            <w:vMerge w:val="continue"/>
            <w:vAlign w:val="center"/>
          </w:tcPr>
          <w:p w14:paraId="44A333EC">
            <w:pPr>
              <w:spacing w:line="360" w:lineRule="auto"/>
              <w:rPr>
                <w:rFonts w:hint="eastAsia" w:ascii="宋体" w:hAnsi="宋体" w:cs="宋体"/>
                <w:color w:val="auto"/>
                <w:szCs w:val="21"/>
                <w:highlight w:val="none"/>
              </w:rPr>
            </w:pPr>
          </w:p>
        </w:tc>
        <w:tc>
          <w:tcPr>
            <w:tcW w:w="6380" w:type="dxa"/>
            <w:vAlign w:val="center"/>
          </w:tcPr>
          <w:p w14:paraId="440BBA3A">
            <w:pPr>
              <w:pStyle w:val="255"/>
              <w:spacing w:line="360" w:lineRule="auto"/>
              <w:rPr>
                <w:rFonts w:hint="eastAsia" w:hAnsi="宋体" w:eastAsia="宋体"/>
                <w:color w:val="auto"/>
                <w:sz w:val="21"/>
                <w:szCs w:val="21"/>
                <w:highlight w:val="none"/>
              </w:rPr>
            </w:pPr>
            <w:r>
              <w:rPr>
                <w:rFonts w:hAnsi="宋体" w:eastAsia="宋体"/>
                <w:color w:val="auto"/>
                <w:sz w:val="21"/>
                <w:szCs w:val="21"/>
                <w:highlight w:val="none"/>
              </w:rPr>
              <w:t>1.4</w:t>
            </w:r>
            <w:r>
              <w:rPr>
                <w:rFonts w:hint="eastAsia" w:hAnsi="宋体" w:eastAsia="宋体"/>
                <w:color w:val="auto"/>
                <w:sz w:val="21"/>
                <w:szCs w:val="21"/>
                <w:highlight w:val="none"/>
              </w:rPr>
              <w:t>、拟投入本项目的设备、器材的情况比较（5分）</w:t>
            </w:r>
          </w:p>
          <w:p w14:paraId="10F42694">
            <w:pPr>
              <w:pStyle w:val="255"/>
              <w:spacing w:line="360" w:lineRule="auto"/>
              <w:rPr>
                <w:rFonts w:hAnsi="Times New Roman" w:eastAsia="宋体"/>
                <w:color w:val="auto"/>
                <w:sz w:val="21"/>
                <w:szCs w:val="21"/>
                <w:highlight w:val="none"/>
              </w:rPr>
            </w:pPr>
            <w:r>
              <w:rPr>
                <w:rFonts w:hint="eastAsia" w:hAnsi="宋体" w:eastAsia="宋体"/>
                <w:color w:val="auto"/>
                <w:sz w:val="21"/>
                <w:szCs w:val="21"/>
                <w:highlight w:val="none"/>
              </w:rPr>
              <w:t>综合评定优秀，投入完全符合项目实际，可行性高、投入方案详尽的得5分；综合评定良好，投入基本符合项目实际，可行性良好、投入方案比较清楚的得4分；综合评定一般，投入一般，可行性一般，基本能满足项目实施需要的得2分。综合评定较差，投入较差，可行性较差，方案较差，基本无可行性的得1分；</w:t>
            </w:r>
            <w:r>
              <w:rPr>
                <w:rFonts w:hint="eastAsia" w:hAnsi="宋体" w:eastAsia="宋体" w:cs="宋体"/>
                <w:color w:val="auto"/>
                <w:sz w:val="21"/>
                <w:szCs w:val="21"/>
                <w:highlight w:val="none"/>
              </w:rPr>
              <w:t>无相关内容不得分。</w:t>
            </w:r>
          </w:p>
        </w:tc>
        <w:tc>
          <w:tcPr>
            <w:tcW w:w="665" w:type="dxa"/>
            <w:vAlign w:val="center"/>
          </w:tcPr>
          <w:p w14:paraId="0178B7A3">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5</w:t>
            </w:r>
          </w:p>
        </w:tc>
      </w:tr>
      <w:tr w14:paraId="060C2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2" w:type="dxa"/>
            <w:vAlign w:val="center"/>
          </w:tcPr>
          <w:p w14:paraId="4B073E4F">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1476" w:type="dxa"/>
            <w:vAlign w:val="center"/>
          </w:tcPr>
          <w:p w14:paraId="6FEE3A05">
            <w:pPr>
              <w:pStyle w:val="25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人员配置合理性及人员素质比较（</w:t>
            </w:r>
            <w:r>
              <w:rPr>
                <w:rFonts w:hAnsi="宋体" w:eastAsia="宋体"/>
                <w:color w:val="auto"/>
                <w:sz w:val="21"/>
                <w:szCs w:val="21"/>
                <w:highlight w:val="none"/>
              </w:rPr>
              <w:t>1</w:t>
            </w:r>
            <w:r>
              <w:rPr>
                <w:rFonts w:hint="eastAsia" w:hAnsi="宋体" w:eastAsia="宋体"/>
                <w:color w:val="auto"/>
                <w:sz w:val="21"/>
                <w:szCs w:val="21"/>
                <w:highlight w:val="none"/>
              </w:rPr>
              <w:t>6分）</w:t>
            </w:r>
          </w:p>
          <w:p w14:paraId="2134C7C1">
            <w:pPr>
              <w:spacing w:line="360" w:lineRule="auto"/>
              <w:rPr>
                <w:rFonts w:hint="eastAsia" w:ascii="宋体" w:hAnsi="宋体" w:cs="宋体"/>
                <w:color w:val="auto"/>
                <w:szCs w:val="21"/>
                <w:highlight w:val="none"/>
              </w:rPr>
            </w:pPr>
          </w:p>
        </w:tc>
        <w:tc>
          <w:tcPr>
            <w:tcW w:w="6380" w:type="dxa"/>
            <w:vAlign w:val="center"/>
          </w:tcPr>
          <w:p w14:paraId="00E00D5C">
            <w:pPr>
              <w:pStyle w:val="255"/>
              <w:spacing w:line="360" w:lineRule="auto"/>
              <w:rPr>
                <w:rFonts w:hint="eastAsia" w:hAnsi="宋体" w:eastAsia="宋体"/>
                <w:color w:val="auto"/>
                <w:sz w:val="21"/>
                <w:szCs w:val="21"/>
                <w:highlight w:val="none"/>
              </w:rPr>
            </w:pPr>
            <w:r>
              <w:rPr>
                <w:rFonts w:hAnsi="宋体" w:eastAsia="宋体"/>
                <w:color w:val="auto"/>
                <w:sz w:val="21"/>
                <w:szCs w:val="21"/>
                <w:highlight w:val="none"/>
              </w:rPr>
              <w:t>2.1</w:t>
            </w:r>
            <w:r>
              <w:rPr>
                <w:rFonts w:hint="eastAsia" w:hAnsi="宋体" w:eastAsia="宋体"/>
                <w:color w:val="auto"/>
                <w:sz w:val="21"/>
                <w:szCs w:val="21"/>
                <w:highlight w:val="none"/>
              </w:rPr>
              <w:t>、项目经理情况比较（</w:t>
            </w:r>
            <w:r>
              <w:rPr>
                <w:rFonts w:hAnsi="宋体" w:eastAsia="宋体"/>
                <w:color w:val="auto"/>
                <w:sz w:val="21"/>
                <w:szCs w:val="21"/>
                <w:highlight w:val="none"/>
              </w:rPr>
              <w:t>4</w:t>
            </w:r>
            <w:r>
              <w:rPr>
                <w:rFonts w:hint="eastAsia" w:hAnsi="宋体" w:eastAsia="宋体"/>
                <w:color w:val="auto"/>
                <w:sz w:val="21"/>
                <w:szCs w:val="21"/>
                <w:highlight w:val="none"/>
              </w:rPr>
              <w:t>分）</w:t>
            </w:r>
          </w:p>
          <w:p w14:paraId="2E6D3886">
            <w:pPr>
              <w:pStyle w:val="25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年龄35周岁以下，且学历本科及以上得</w:t>
            </w:r>
            <w:r>
              <w:rPr>
                <w:rFonts w:hAnsi="宋体" w:eastAsia="宋体"/>
                <w:color w:val="auto"/>
                <w:sz w:val="21"/>
                <w:szCs w:val="21"/>
                <w:highlight w:val="none"/>
              </w:rPr>
              <w:t>1</w:t>
            </w:r>
            <w:r>
              <w:rPr>
                <w:rFonts w:hint="eastAsia" w:hAnsi="宋体" w:eastAsia="宋体"/>
                <w:color w:val="auto"/>
                <w:sz w:val="21"/>
                <w:szCs w:val="21"/>
                <w:highlight w:val="none"/>
              </w:rPr>
              <w:t>分；</w:t>
            </w:r>
          </w:p>
          <w:p w14:paraId="2F1E25B4">
            <w:pPr>
              <w:pStyle w:val="25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具有护工证或护理员证（或培训合格证）的得</w:t>
            </w:r>
            <w:r>
              <w:rPr>
                <w:rFonts w:hAnsi="宋体" w:eastAsia="宋体"/>
                <w:color w:val="auto"/>
                <w:sz w:val="21"/>
                <w:szCs w:val="21"/>
                <w:highlight w:val="none"/>
              </w:rPr>
              <w:t>1</w:t>
            </w:r>
            <w:r>
              <w:rPr>
                <w:rFonts w:hint="eastAsia" w:hAnsi="宋体" w:eastAsia="宋体"/>
                <w:color w:val="auto"/>
                <w:sz w:val="21"/>
                <w:szCs w:val="21"/>
                <w:highlight w:val="none"/>
              </w:rPr>
              <w:t>分；</w:t>
            </w:r>
          </w:p>
          <w:p w14:paraId="32993223">
            <w:pPr>
              <w:pStyle w:val="25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具有精神专科护工证（或精神专科护工技能培训考试合格）得</w:t>
            </w:r>
            <w:r>
              <w:rPr>
                <w:rFonts w:hAnsi="宋体" w:eastAsia="宋体"/>
                <w:color w:val="auto"/>
                <w:sz w:val="21"/>
                <w:szCs w:val="21"/>
                <w:highlight w:val="none"/>
              </w:rPr>
              <w:t>1</w:t>
            </w:r>
            <w:r>
              <w:rPr>
                <w:rFonts w:hint="eastAsia" w:hAnsi="宋体" w:eastAsia="宋体"/>
                <w:color w:val="auto"/>
                <w:sz w:val="21"/>
                <w:szCs w:val="21"/>
                <w:highlight w:val="none"/>
              </w:rPr>
              <w:t>分；</w:t>
            </w:r>
          </w:p>
          <w:p w14:paraId="3A252C57">
            <w:pPr>
              <w:pStyle w:val="25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具有医院三年以上医院管理经验得</w:t>
            </w:r>
            <w:r>
              <w:rPr>
                <w:rFonts w:hAnsi="宋体" w:eastAsia="宋体"/>
                <w:color w:val="auto"/>
                <w:sz w:val="21"/>
                <w:szCs w:val="21"/>
                <w:highlight w:val="none"/>
              </w:rPr>
              <w:t>1</w:t>
            </w:r>
            <w:r>
              <w:rPr>
                <w:rFonts w:hint="eastAsia" w:hAnsi="宋体" w:eastAsia="宋体"/>
                <w:color w:val="auto"/>
                <w:sz w:val="21"/>
                <w:szCs w:val="21"/>
                <w:highlight w:val="none"/>
              </w:rPr>
              <w:t>分，需提供医院提供的证明文件。</w:t>
            </w:r>
          </w:p>
          <w:p w14:paraId="3F22C99A">
            <w:pPr>
              <w:pStyle w:val="255"/>
              <w:spacing w:line="360" w:lineRule="auto"/>
              <w:rPr>
                <w:rFonts w:hint="eastAsia" w:hAnsi="宋体" w:eastAsia="宋体" w:cs="宋体"/>
                <w:color w:val="auto"/>
                <w:sz w:val="21"/>
                <w:szCs w:val="21"/>
                <w:highlight w:val="none"/>
              </w:rPr>
            </w:pPr>
            <w:r>
              <w:rPr>
                <w:rFonts w:hint="eastAsia" w:hAnsi="宋体" w:eastAsia="宋体"/>
                <w:color w:val="auto"/>
                <w:sz w:val="21"/>
                <w:szCs w:val="21"/>
                <w:highlight w:val="none"/>
              </w:rPr>
              <w:t>注：投标人须为其缴纳的近3个月社保证明材料加盖公章，否则不得分。</w:t>
            </w:r>
          </w:p>
        </w:tc>
        <w:tc>
          <w:tcPr>
            <w:tcW w:w="665" w:type="dxa"/>
            <w:vAlign w:val="center"/>
          </w:tcPr>
          <w:p w14:paraId="349CFFBF">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4</w:t>
            </w:r>
          </w:p>
        </w:tc>
      </w:tr>
      <w:tr w14:paraId="3F82D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2" w:type="dxa"/>
            <w:vAlign w:val="center"/>
          </w:tcPr>
          <w:p w14:paraId="1ADA20C7">
            <w:pPr>
              <w:spacing w:line="360" w:lineRule="auto"/>
              <w:jc w:val="center"/>
              <w:rPr>
                <w:rFonts w:hint="eastAsia" w:ascii="宋体" w:hAnsi="宋体" w:cs="宋体"/>
                <w:color w:val="auto"/>
                <w:szCs w:val="21"/>
                <w:highlight w:val="none"/>
              </w:rPr>
            </w:pPr>
          </w:p>
        </w:tc>
        <w:tc>
          <w:tcPr>
            <w:tcW w:w="1476" w:type="dxa"/>
            <w:vAlign w:val="center"/>
          </w:tcPr>
          <w:p w14:paraId="3D28349B">
            <w:pPr>
              <w:spacing w:line="360" w:lineRule="auto"/>
              <w:rPr>
                <w:rFonts w:hint="eastAsia" w:ascii="宋体" w:hAnsi="宋体" w:cs="宋体"/>
                <w:color w:val="auto"/>
                <w:szCs w:val="21"/>
                <w:highlight w:val="none"/>
              </w:rPr>
            </w:pPr>
          </w:p>
        </w:tc>
        <w:tc>
          <w:tcPr>
            <w:tcW w:w="6380" w:type="dxa"/>
            <w:vAlign w:val="center"/>
          </w:tcPr>
          <w:p w14:paraId="4A76EEA2">
            <w:pPr>
              <w:pStyle w:val="25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2.2病区主管情况比较（3分）</w:t>
            </w:r>
          </w:p>
          <w:p w14:paraId="4FAD8BE6">
            <w:pPr>
              <w:pStyle w:val="25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大专及以上学历得1分；</w:t>
            </w:r>
          </w:p>
          <w:p w14:paraId="4FDCE898">
            <w:pPr>
              <w:pStyle w:val="25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具有护工证或护理员证（或培训合格证）的得</w:t>
            </w:r>
            <w:r>
              <w:rPr>
                <w:rFonts w:hAnsi="宋体" w:eastAsia="宋体"/>
                <w:color w:val="auto"/>
                <w:sz w:val="21"/>
                <w:szCs w:val="21"/>
                <w:highlight w:val="none"/>
              </w:rPr>
              <w:t>1</w:t>
            </w:r>
            <w:r>
              <w:rPr>
                <w:rFonts w:hint="eastAsia" w:hAnsi="宋体" w:eastAsia="宋体"/>
                <w:color w:val="auto"/>
                <w:sz w:val="21"/>
                <w:szCs w:val="21"/>
                <w:highlight w:val="none"/>
              </w:rPr>
              <w:t>分；</w:t>
            </w:r>
          </w:p>
          <w:p w14:paraId="68D3FA97">
            <w:pPr>
              <w:pStyle w:val="25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具有精神专科护工证（或精神专科护工技能培训考试合格）得</w:t>
            </w:r>
            <w:r>
              <w:rPr>
                <w:rFonts w:hAnsi="宋体" w:eastAsia="宋体"/>
                <w:color w:val="auto"/>
                <w:sz w:val="21"/>
                <w:szCs w:val="21"/>
                <w:highlight w:val="none"/>
              </w:rPr>
              <w:t>1</w:t>
            </w:r>
            <w:r>
              <w:rPr>
                <w:rFonts w:hint="eastAsia" w:hAnsi="宋体" w:eastAsia="宋体"/>
                <w:color w:val="auto"/>
                <w:sz w:val="21"/>
                <w:szCs w:val="21"/>
                <w:highlight w:val="none"/>
              </w:rPr>
              <w:t>分；</w:t>
            </w:r>
          </w:p>
          <w:p w14:paraId="274157DC">
            <w:pPr>
              <w:pStyle w:val="25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注：投标人须为其缴纳的近3个月社保证明材料加盖公章，否则不得分。</w:t>
            </w:r>
          </w:p>
        </w:tc>
        <w:tc>
          <w:tcPr>
            <w:tcW w:w="665" w:type="dxa"/>
            <w:vAlign w:val="center"/>
          </w:tcPr>
          <w:p w14:paraId="10D46712">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3</w:t>
            </w:r>
          </w:p>
        </w:tc>
      </w:tr>
      <w:tr w14:paraId="73EAC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2" w:type="dxa"/>
            <w:vAlign w:val="center"/>
          </w:tcPr>
          <w:p w14:paraId="187F794B">
            <w:pPr>
              <w:spacing w:line="360" w:lineRule="auto"/>
              <w:jc w:val="center"/>
              <w:rPr>
                <w:rFonts w:hint="eastAsia" w:ascii="宋体" w:hAnsi="宋体" w:cs="宋体"/>
                <w:color w:val="auto"/>
                <w:szCs w:val="21"/>
                <w:highlight w:val="none"/>
              </w:rPr>
            </w:pPr>
          </w:p>
        </w:tc>
        <w:tc>
          <w:tcPr>
            <w:tcW w:w="1476" w:type="dxa"/>
            <w:vAlign w:val="center"/>
          </w:tcPr>
          <w:p w14:paraId="6D5CE3FF">
            <w:pPr>
              <w:spacing w:line="360" w:lineRule="auto"/>
              <w:rPr>
                <w:rFonts w:hint="eastAsia" w:ascii="宋体" w:hAnsi="宋体" w:cs="宋体"/>
                <w:color w:val="auto"/>
                <w:szCs w:val="21"/>
                <w:highlight w:val="none"/>
              </w:rPr>
            </w:pPr>
          </w:p>
        </w:tc>
        <w:tc>
          <w:tcPr>
            <w:tcW w:w="6380" w:type="dxa"/>
            <w:vAlign w:val="center"/>
          </w:tcPr>
          <w:p w14:paraId="1FA39EDB">
            <w:pPr>
              <w:pStyle w:val="255"/>
              <w:spacing w:line="360" w:lineRule="auto"/>
              <w:rPr>
                <w:rFonts w:hint="eastAsia" w:hAnsi="宋体" w:eastAsia="宋体"/>
                <w:color w:val="auto"/>
                <w:sz w:val="21"/>
                <w:szCs w:val="21"/>
                <w:highlight w:val="none"/>
              </w:rPr>
            </w:pPr>
            <w:r>
              <w:rPr>
                <w:rFonts w:hAnsi="宋体" w:eastAsia="宋体"/>
                <w:color w:val="auto"/>
                <w:sz w:val="21"/>
                <w:szCs w:val="21"/>
                <w:highlight w:val="none"/>
              </w:rPr>
              <w:t>2.</w:t>
            </w:r>
            <w:r>
              <w:rPr>
                <w:rFonts w:hint="eastAsia" w:hAnsi="宋体" w:eastAsia="宋体"/>
                <w:color w:val="auto"/>
                <w:sz w:val="21"/>
                <w:szCs w:val="21"/>
                <w:highlight w:val="none"/>
              </w:rPr>
              <w:t>3厨师情况比较（</w:t>
            </w:r>
            <w:r>
              <w:rPr>
                <w:rFonts w:hAnsi="宋体" w:eastAsia="宋体"/>
                <w:color w:val="auto"/>
                <w:sz w:val="21"/>
                <w:szCs w:val="21"/>
                <w:highlight w:val="none"/>
              </w:rPr>
              <w:t>2</w:t>
            </w:r>
            <w:r>
              <w:rPr>
                <w:rFonts w:hint="eastAsia" w:hAnsi="宋体" w:eastAsia="宋体"/>
                <w:color w:val="auto"/>
                <w:sz w:val="21"/>
                <w:szCs w:val="21"/>
                <w:highlight w:val="none"/>
              </w:rPr>
              <w:t>分）</w:t>
            </w:r>
          </w:p>
          <w:p w14:paraId="6311FCB7">
            <w:pPr>
              <w:pStyle w:val="25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每提供一张烹调师及以上且具有有效期内健康证的得</w:t>
            </w:r>
            <w:r>
              <w:rPr>
                <w:rFonts w:hAnsi="宋体" w:eastAsia="宋体"/>
                <w:color w:val="auto"/>
                <w:sz w:val="21"/>
                <w:szCs w:val="21"/>
                <w:highlight w:val="none"/>
              </w:rPr>
              <w:t>1</w:t>
            </w:r>
            <w:r>
              <w:rPr>
                <w:rFonts w:hint="eastAsia" w:hAnsi="宋体" w:eastAsia="宋体"/>
                <w:color w:val="auto"/>
                <w:sz w:val="21"/>
                <w:szCs w:val="21"/>
                <w:highlight w:val="none"/>
              </w:rPr>
              <w:t>分，最多提供</w:t>
            </w:r>
            <w:r>
              <w:rPr>
                <w:rFonts w:hAnsi="宋体" w:eastAsia="宋体"/>
                <w:color w:val="auto"/>
                <w:sz w:val="21"/>
                <w:szCs w:val="21"/>
                <w:highlight w:val="none"/>
              </w:rPr>
              <w:t>2</w:t>
            </w:r>
            <w:r>
              <w:rPr>
                <w:rFonts w:hint="eastAsia" w:hAnsi="宋体" w:eastAsia="宋体"/>
                <w:color w:val="auto"/>
                <w:sz w:val="21"/>
                <w:szCs w:val="21"/>
                <w:highlight w:val="none"/>
              </w:rPr>
              <w:t>张。</w:t>
            </w:r>
          </w:p>
          <w:p w14:paraId="4418EB6C">
            <w:pPr>
              <w:pStyle w:val="25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注：投标人须为其缴纳的近3个月社保证明材料加盖公章，否则不得分。</w:t>
            </w:r>
          </w:p>
        </w:tc>
        <w:tc>
          <w:tcPr>
            <w:tcW w:w="665" w:type="dxa"/>
            <w:vAlign w:val="center"/>
          </w:tcPr>
          <w:p w14:paraId="0B0C5A24">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w:t>
            </w:r>
          </w:p>
        </w:tc>
      </w:tr>
      <w:tr w14:paraId="692A8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2" w:type="dxa"/>
            <w:vAlign w:val="center"/>
          </w:tcPr>
          <w:p w14:paraId="116C5B22">
            <w:pPr>
              <w:spacing w:line="360" w:lineRule="auto"/>
              <w:jc w:val="center"/>
              <w:rPr>
                <w:rFonts w:hint="eastAsia" w:ascii="宋体" w:hAnsi="宋体" w:cs="宋体"/>
                <w:color w:val="auto"/>
                <w:szCs w:val="21"/>
                <w:highlight w:val="none"/>
              </w:rPr>
            </w:pPr>
          </w:p>
        </w:tc>
        <w:tc>
          <w:tcPr>
            <w:tcW w:w="1476" w:type="dxa"/>
            <w:vAlign w:val="center"/>
          </w:tcPr>
          <w:p w14:paraId="04F0D656">
            <w:pPr>
              <w:spacing w:line="360" w:lineRule="auto"/>
              <w:rPr>
                <w:rFonts w:hint="eastAsia" w:ascii="宋体" w:hAnsi="宋体" w:cs="宋体"/>
                <w:color w:val="auto"/>
                <w:szCs w:val="21"/>
                <w:highlight w:val="none"/>
              </w:rPr>
            </w:pPr>
          </w:p>
        </w:tc>
        <w:tc>
          <w:tcPr>
            <w:tcW w:w="6380" w:type="dxa"/>
            <w:vAlign w:val="center"/>
          </w:tcPr>
          <w:p w14:paraId="265B5073">
            <w:pPr>
              <w:spacing w:line="360" w:lineRule="auto"/>
              <w:rPr>
                <w:rFonts w:ascii="宋体" w:cs="宋体"/>
                <w:color w:val="auto"/>
                <w:szCs w:val="21"/>
                <w:highlight w:val="none"/>
              </w:rPr>
            </w:pPr>
            <w:r>
              <w:rPr>
                <w:rFonts w:ascii="宋体" w:hAnsi="宋体" w:cs="宋体"/>
                <w:color w:val="auto"/>
                <w:szCs w:val="21"/>
                <w:highlight w:val="none"/>
              </w:rPr>
              <w:t>2.</w:t>
            </w:r>
            <w:r>
              <w:rPr>
                <w:rFonts w:hint="eastAsia" w:ascii="宋体" w:hAnsi="宋体" w:cs="宋体"/>
                <w:color w:val="auto"/>
                <w:szCs w:val="21"/>
                <w:highlight w:val="none"/>
              </w:rPr>
              <w:t>4护工人员（与上述人员不重复）（5分）</w:t>
            </w:r>
          </w:p>
          <w:p w14:paraId="182A0FE4">
            <w:pPr>
              <w:pStyle w:val="255"/>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每提供一张</w:t>
            </w:r>
            <w:r>
              <w:rPr>
                <w:rFonts w:hint="eastAsia" w:hAnsi="宋体" w:eastAsia="宋体"/>
                <w:color w:val="auto"/>
                <w:sz w:val="21"/>
                <w:szCs w:val="21"/>
                <w:highlight w:val="none"/>
              </w:rPr>
              <w:t>精神专科护工证（或精神专科护工技能培训考试合格）得</w:t>
            </w:r>
            <w:r>
              <w:rPr>
                <w:rFonts w:hAnsi="宋体" w:eastAsia="宋体"/>
                <w:color w:val="auto"/>
                <w:sz w:val="21"/>
                <w:szCs w:val="21"/>
                <w:highlight w:val="none"/>
              </w:rPr>
              <w:t>1</w:t>
            </w:r>
            <w:r>
              <w:rPr>
                <w:rFonts w:hint="eastAsia" w:hAnsi="宋体" w:eastAsia="宋体"/>
                <w:color w:val="auto"/>
                <w:sz w:val="21"/>
                <w:szCs w:val="21"/>
                <w:highlight w:val="none"/>
              </w:rPr>
              <w:t>分</w:t>
            </w:r>
            <w:r>
              <w:rPr>
                <w:rFonts w:hint="eastAsia" w:hAnsi="宋体" w:eastAsia="宋体" w:cs="宋体"/>
                <w:color w:val="auto"/>
                <w:sz w:val="21"/>
                <w:szCs w:val="21"/>
                <w:highlight w:val="none"/>
              </w:rPr>
              <w:t>；</w:t>
            </w:r>
          </w:p>
          <w:p w14:paraId="20B05594">
            <w:pPr>
              <w:pStyle w:val="25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注：投标人须为其缴纳的近3个月社保证明证明材料加盖公章，否则不得分。</w:t>
            </w:r>
          </w:p>
        </w:tc>
        <w:tc>
          <w:tcPr>
            <w:tcW w:w="665" w:type="dxa"/>
            <w:vAlign w:val="center"/>
          </w:tcPr>
          <w:p w14:paraId="27CFC7A3">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5</w:t>
            </w:r>
          </w:p>
        </w:tc>
      </w:tr>
      <w:tr w14:paraId="5326E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2" w:type="dxa"/>
            <w:vAlign w:val="center"/>
          </w:tcPr>
          <w:p w14:paraId="206B9DAF">
            <w:pPr>
              <w:spacing w:line="360" w:lineRule="auto"/>
              <w:jc w:val="center"/>
              <w:rPr>
                <w:rFonts w:hint="eastAsia" w:ascii="宋体" w:hAnsi="宋体" w:cs="宋体"/>
                <w:color w:val="auto"/>
                <w:szCs w:val="21"/>
                <w:highlight w:val="none"/>
              </w:rPr>
            </w:pPr>
          </w:p>
        </w:tc>
        <w:tc>
          <w:tcPr>
            <w:tcW w:w="1476" w:type="dxa"/>
            <w:vAlign w:val="center"/>
          </w:tcPr>
          <w:p w14:paraId="5B8D0569">
            <w:pPr>
              <w:spacing w:line="360" w:lineRule="auto"/>
              <w:rPr>
                <w:rFonts w:hint="eastAsia" w:ascii="宋体" w:hAnsi="宋体" w:cs="宋体"/>
                <w:color w:val="auto"/>
                <w:szCs w:val="21"/>
                <w:highlight w:val="none"/>
              </w:rPr>
            </w:pPr>
          </w:p>
        </w:tc>
        <w:tc>
          <w:tcPr>
            <w:tcW w:w="6380" w:type="dxa"/>
            <w:vAlign w:val="center"/>
          </w:tcPr>
          <w:p w14:paraId="4C1567E2">
            <w:pPr>
              <w:pStyle w:val="25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2.5药房辅助人员（2分）</w:t>
            </w:r>
          </w:p>
          <w:p w14:paraId="6C3F21AA">
            <w:pPr>
              <w:pStyle w:val="25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要求相关专业毕业且学历为大专及大专以上得1分；</w:t>
            </w:r>
          </w:p>
          <w:p w14:paraId="4CFB6B6C">
            <w:pPr>
              <w:pStyle w:val="25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有药师证或者临床药师证，得1分；</w:t>
            </w:r>
          </w:p>
          <w:p w14:paraId="6454E107">
            <w:pPr>
              <w:pStyle w:val="25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注：投标人须为其缴纳的近3个月社保证明证明材料加盖公章，否则不得分。</w:t>
            </w:r>
          </w:p>
        </w:tc>
        <w:tc>
          <w:tcPr>
            <w:tcW w:w="665" w:type="dxa"/>
            <w:vAlign w:val="center"/>
          </w:tcPr>
          <w:p w14:paraId="2749BEBC">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w:t>
            </w:r>
          </w:p>
        </w:tc>
      </w:tr>
      <w:tr w14:paraId="4D439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2" w:type="dxa"/>
            <w:vAlign w:val="center"/>
          </w:tcPr>
          <w:p w14:paraId="16C828EA">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1476" w:type="dxa"/>
            <w:vAlign w:val="center"/>
          </w:tcPr>
          <w:p w14:paraId="17D65687">
            <w:pPr>
              <w:spacing w:line="360" w:lineRule="auto"/>
              <w:rPr>
                <w:rFonts w:hint="eastAsia" w:ascii="宋体" w:hAnsi="宋体" w:cs="宋体"/>
                <w:color w:val="auto"/>
                <w:szCs w:val="21"/>
                <w:highlight w:val="none"/>
              </w:rPr>
            </w:pPr>
            <w:r>
              <w:rPr>
                <w:rFonts w:hint="eastAsia" w:hAnsi="宋体"/>
                <w:color w:val="auto"/>
                <w:szCs w:val="21"/>
                <w:highlight w:val="none"/>
              </w:rPr>
              <w:t>突发事件的应急措施及医患纠纷处置措施方案及经验（6分）</w:t>
            </w:r>
          </w:p>
        </w:tc>
        <w:tc>
          <w:tcPr>
            <w:tcW w:w="6380" w:type="dxa"/>
            <w:vAlign w:val="center"/>
          </w:tcPr>
          <w:p w14:paraId="14C23164">
            <w:pPr>
              <w:pStyle w:val="255"/>
              <w:spacing w:line="360" w:lineRule="auto"/>
              <w:rPr>
                <w:rFonts w:hint="eastAsia" w:hAnsi="宋体" w:eastAsia="宋体" w:cs="宋体"/>
                <w:color w:val="auto"/>
                <w:sz w:val="21"/>
                <w:szCs w:val="21"/>
                <w:highlight w:val="none"/>
              </w:rPr>
            </w:pPr>
            <w:r>
              <w:rPr>
                <w:rFonts w:hint="eastAsia" w:hAnsi="宋体" w:eastAsia="宋体"/>
                <w:color w:val="auto"/>
                <w:sz w:val="21"/>
                <w:szCs w:val="21"/>
                <w:highlight w:val="none"/>
              </w:rPr>
              <w:t>包括资产保护应急措施、特殊事故（情况）措施、医患纠纷处置措施等。根据内容详细具有可行性的，由评委评定。综合评定优秀，方案完全符合项目实际，方案详尽、可行性高的得6分；综合评定良好，方案基本符合项目实际，方案比较清楚、可行性良好的得4分；综合评定一般，方案一般，基本能满足项目实施需要的得3分；综合评定较差，方案较差，可行性一般且基本没有经验的得1分；</w:t>
            </w:r>
            <w:r>
              <w:rPr>
                <w:rFonts w:hint="eastAsia" w:hAnsi="宋体" w:eastAsia="宋体" w:cs="宋体"/>
                <w:color w:val="auto"/>
                <w:sz w:val="21"/>
                <w:szCs w:val="21"/>
                <w:highlight w:val="none"/>
              </w:rPr>
              <w:t>无相关内容不得分。</w:t>
            </w:r>
          </w:p>
        </w:tc>
        <w:tc>
          <w:tcPr>
            <w:tcW w:w="665" w:type="dxa"/>
            <w:vAlign w:val="center"/>
          </w:tcPr>
          <w:p w14:paraId="78ED9394">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6</w:t>
            </w:r>
          </w:p>
        </w:tc>
      </w:tr>
      <w:tr w14:paraId="25577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2" w:type="dxa"/>
            <w:vAlign w:val="center"/>
          </w:tcPr>
          <w:p w14:paraId="34BF5F87">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1476" w:type="dxa"/>
            <w:vAlign w:val="center"/>
          </w:tcPr>
          <w:p w14:paraId="2CC09902">
            <w:pPr>
              <w:spacing w:line="360" w:lineRule="auto"/>
              <w:rPr>
                <w:rFonts w:hint="eastAsia" w:ascii="宋体" w:hAnsi="宋体" w:cs="宋体"/>
                <w:color w:val="auto"/>
                <w:szCs w:val="21"/>
                <w:highlight w:val="none"/>
              </w:rPr>
            </w:pPr>
            <w:r>
              <w:rPr>
                <w:rFonts w:hint="eastAsia" w:hAnsi="宋体"/>
                <w:color w:val="auto"/>
                <w:szCs w:val="21"/>
                <w:highlight w:val="none"/>
              </w:rPr>
              <w:t>交接过渡工作方案比较（6分）</w:t>
            </w:r>
          </w:p>
        </w:tc>
        <w:tc>
          <w:tcPr>
            <w:tcW w:w="6380" w:type="dxa"/>
            <w:vAlign w:val="center"/>
          </w:tcPr>
          <w:p w14:paraId="73BAA8D5">
            <w:pPr>
              <w:pStyle w:val="255"/>
              <w:spacing w:line="360" w:lineRule="auto"/>
              <w:rPr>
                <w:rFonts w:hAnsi="宋体" w:cs="宋体"/>
                <w:color w:val="auto"/>
                <w:szCs w:val="21"/>
                <w:highlight w:val="none"/>
              </w:rPr>
            </w:pPr>
            <w:r>
              <w:rPr>
                <w:rFonts w:hint="eastAsia" w:hAnsi="宋体" w:eastAsia="宋体"/>
                <w:color w:val="auto"/>
                <w:sz w:val="21"/>
                <w:szCs w:val="21"/>
                <w:highlight w:val="none"/>
              </w:rPr>
              <w:t>综合评定优秀，方案完全符合项目实际，方案详尽、可行性高的得6分；综合评定良好，方案基本符合项目实际，方案比较清楚、可行性良好的得4分；综合评定一般，方案一般，基本能满足项目实施需要的得2分。综合评定较差，方案较差，可行性一般且基本没有经验的得1分；</w:t>
            </w:r>
            <w:r>
              <w:rPr>
                <w:rFonts w:hint="eastAsia" w:hAnsi="宋体" w:eastAsia="宋体" w:cs="宋体"/>
                <w:color w:val="auto"/>
                <w:sz w:val="21"/>
                <w:szCs w:val="21"/>
                <w:highlight w:val="none"/>
              </w:rPr>
              <w:t>无相关内容不得分。</w:t>
            </w:r>
          </w:p>
        </w:tc>
        <w:tc>
          <w:tcPr>
            <w:tcW w:w="665" w:type="dxa"/>
            <w:vAlign w:val="center"/>
          </w:tcPr>
          <w:p w14:paraId="5AEBDBAE">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6</w:t>
            </w:r>
          </w:p>
        </w:tc>
      </w:tr>
      <w:tr w14:paraId="10051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2" w:type="dxa"/>
            <w:vMerge w:val="restart"/>
            <w:vAlign w:val="center"/>
          </w:tcPr>
          <w:p w14:paraId="2758DABE">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1476" w:type="dxa"/>
            <w:vMerge w:val="restart"/>
            <w:vAlign w:val="center"/>
          </w:tcPr>
          <w:p w14:paraId="16CC74D5">
            <w:pPr>
              <w:pStyle w:val="25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内部管理规章制度及考核管理办法（18分）</w:t>
            </w:r>
          </w:p>
          <w:p w14:paraId="3CAABFA2">
            <w:pPr>
              <w:spacing w:line="360" w:lineRule="auto"/>
              <w:rPr>
                <w:rFonts w:hint="eastAsia" w:ascii="宋体" w:hAnsi="宋体" w:cs="宋体"/>
                <w:color w:val="auto"/>
                <w:szCs w:val="21"/>
                <w:highlight w:val="none"/>
              </w:rPr>
            </w:pPr>
          </w:p>
        </w:tc>
        <w:tc>
          <w:tcPr>
            <w:tcW w:w="6380" w:type="dxa"/>
            <w:vAlign w:val="center"/>
          </w:tcPr>
          <w:p w14:paraId="7D8682CA">
            <w:pPr>
              <w:pStyle w:val="25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5</w:t>
            </w:r>
            <w:r>
              <w:rPr>
                <w:rFonts w:hAnsi="宋体" w:eastAsia="宋体"/>
                <w:color w:val="auto"/>
                <w:sz w:val="21"/>
                <w:szCs w:val="21"/>
                <w:highlight w:val="none"/>
              </w:rPr>
              <w:t>.1</w:t>
            </w:r>
            <w:r>
              <w:rPr>
                <w:rFonts w:hint="eastAsia" w:hAnsi="宋体" w:eastAsia="宋体"/>
                <w:color w:val="auto"/>
                <w:sz w:val="21"/>
                <w:szCs w:val="21"/>
                <w:highlight w:val="none"/>
              </w:rPr>
              <w:t>服务人员安全文明规范（6分）</w:t>
            </w:r>
          </w:p>
          <w:p w14:paraId="2C547087">
            <w:pPr>
              <w:pStyle w:val="255"/>
              <w:spacing w:line="360" w:lineRule="auto"/>
              <w:rPr>
                <w:rFonts w:hAnsi="宋体" w:cs="宋体"/>
                <w:color w:val="auto"/>
                <w:szCs w:val="21"/>
                <w:highlight w:val="none"/>
              </w:rPr>
            </w:pPr>
            <w:r>
              <w:rPr>
                <w:rFonts w:hint="eastAsia" w:hAnsi="宋体" w:eastAsia="宋体"/>
                <w:color w:val="auto"/>
                <w:sz w:val="21"/>
                <w:szCs w:val="21"/>
                <w:highlight w:val="none"/>
              </w:rPr>
              <w:t>综合评定优秀，经评审委员会认定投标人具有完善且详细的服务人员安全文明规范的得6分；综合评定良好，经评审委员会认定投标人具有比较完善的服务人员安全文明规范的得4分；综合评定一般，基本能满足项目实施需要的得2分；</w:t>
            </w:r>
            <w:r>
              <w:rPr>
                <w:rFonts w:hint="eastAsia" w:hAnsi="宋体" w:eastAsia="宋体" w:cs="宋体"/>
                <w:color w:val="auto"/>
                <w:sz w:val="21"/>
                <w:szCs w:val="21"/>
                <w:highlight w:val="none"/>
              </w:rPr>
              <w:t>无相关内容不得分。</w:t>
            </w:r>
          </w:p>
        </w:tc>
        <w:tc>
          <w:tcPr>
            <w:tcW w:w="665" w:type="dxa"/>
            <w:vAlign w:val="center"/>
          </w:tcPr>
          <w:p w14:paraId="3E6DA94F">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6</w:t>
            </w:r>
          </w:p>
        </w:tc>
      </w:tr>
      <w:tr w14:paraId="0373C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2" w:type="dxa"/>
            <w:vMerge w:val="continue"/>
            <w:vAlign w:val="center"/>
          </w:tcPr>
          <w:p w14:paraId="2DC4C48E">
            <w:pPr>
              <w:spacing w:line="360" w:lineRule="auto"/>
              <w:jc w:val="center"/>
              <w:rPr>
                <w:rFonts w:hint="eastAsia" w:ascii="宋体" w:hAnsi="宋体" w:cs="宋体"/>
                <w:color w:val="auto"/>
                <w:szCs w:val="21"/>
                <w:highlight w:val="none"/>
              </w:rPr>
            </w:pPr>
          </w:p>
        </w:tc>
        <w:tc>
          <w:tcPr>
            <w:tcW w:w="1476" w:type="dxa"/>
            <w:vMerge w:val="continue"/>
            <w:vAlign w:val="center"/>
          </w:tcPr>
          <w:p w14:paraId="70B55965">
            <w:pPr>
              <w:spacing w:line="360" w:lineRule="auto"/>
              <w:rPr>
                <w:rFonts w:hint="eastAsia" w:ascii="宋体" w:hAnsi="宋体" w:cs="宋体"/>
                <w:color w:val="auto"/>
                <w:szCs w:val="21"/>
                <w:highlight w:val="none"/>
              </w:rPr>
            </w:pPr>
          </w:p>
        </w:tc>
        <w:tc>
          <w:tcPr>
            <w:tcW w:w="6380" w:type="dxa"/>
            <w:vAlign w:val="center"/>
          </w:tcPr>
          <w:p w14:paraId="7833616A">
            <w:pPr>
              <w:pStyle w:val="25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5</w:t>
            </w:r>
            <w:r>
              <w:rPr>
                <w:rFonts w:hAnsi="宋体" w:eastAsia="宋体"/>
                <w:color w:val="auto"/>
                <w:sz w:val="21"/>
                <w:szCs w:val="21"/>
                <w:highlight w:val="none"/>
              </w:rPr>
              <w:t>.2</w:t>
            </w:r>
            <w:r>
              <w:rPr>
                <w:rFonts w:hint="eastAsia" w:hAnsi="宋体" w:eastAsia="宋体"/>
                <w:color w:val="auto"/>
                <w:sz w:val="21"/>
                <w:szCs w:val="21"/>
                <w:highlight w:val="none"/>
              </w:rPr>
              <w:t>服务人员考核制度及标准（6分）</w:t>
            </w:r>
          </w:p>
          <w:p w14:paraId="662D04BC">
            <w:pPr>
              <w:pStyle w:val="25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综合评定优秀，经评审委员会认定投标人具有完善且详细的服务人员考核制度及标准的得6分；综合评定良好，经评审委员会认定投标人具有比较完善的服务人员考核制度及标准的得4分；综合评定一般，基本能满足项目实施需要的得2分；</w:t>
            </w:r>
            <w:r>
              <w:rPr>
                <w:rFonts w:hint="eastAsia" w:hAnsi="宋体" w:eastAsia="宋体" w:cs="宋体"/>
                <w:color w:val="auto"/>
                <w:sz w:val="21"/>
                <w:szCs w:val="21"/>
                <w:highlight w:val="none"/>
              </w:rPr>
              <w:t>无相关内容不得分。</w:t>
            </w:r>
          </w:p>
        </w:tc>
        <w:tc>
          <w:tcPr>
            <w:tcW w:w="665" w:type="dxa"/>
            <w:vAlign w:val="center"/>
          </w:tcPr>
          <w:p w14:paraId="681B896B">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6</w:t>
            </w:r>
          </w:p>
        </w:tc>
      </w:tr>
      <w:tr w14:paraId="5BDFC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2" w:type="dxa"/>
            <w:vMerge w:val="continue"/>
            <w:vAlign w:val="center"/>
          </w:tcPr>
          <w:p w14:paraId="0BCCAB0E">
            <w:pPr>
              <w:spacing w:line="360" w:lineRule="auto"/>
              <w:jc w:val="center"/>
              <w:rPr>
                <w:rFonts w:hint="eastAsia" w:ascii="宋体" w:hAnsi="宋体" w:cs="宋体"/>
                <w:color w:val="auto"/>
                <w:szCs w:val="21"/>
                <w:highlight w:val="none"/>
              </w:rPr>
            </w:pPr>
          </w:p>
        </w:tc>
        <w:tc>
          <w:tcPr>
            <w:tcW w:w="1476" w:type="dxa"/>
            <w:vMerge w:val="continue"/>
            <w:vAlign w:val="center"/>
          </w:tcPr>
          <w:p w14:paraId="45CADFA6">
            <w:pPr>
              <w:spacing w:line="360" w:lineRule="auto"/>
              <w:rPr>
                <w:rFonts w:hint="eastAsia" w:ascii="宋体" w:hAnsi="宋体" w:cs="宋体"/>
                <w:color w:val="auto"/>
                <w:szCs w:val="21"/>
                <w:highlight w:val="none"/>
              </w:rPr>
            </w:pPr>
          </w:p>
        </w:tc>
        <w:tc>
          <w:tcPr>
            <w:tcW w:w="6380" w:type="dxa"/>
            <w:vAlign w:val="center"/>
          </w:tcPr>
          <w:p w14:paraId="12F2B98D">
            <w:pPr>
              <w:pStyle w:val="25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5</w:t>
            </w:r>
            <w:r>
              <w:rPr>
                <w:rFonts w:hAnsi="宋体" w:eastAsia="宋体"/>
                <w:color w:val="auto"/>
                <w:sz w:val="21"/>
                <w:szCs w:val="21"/>
                <w:highlight w:val="none"/>
              </w:rPr>
              <w:t>.3</w:t>
            </w:r>
            <w:r>
              <w:rPr>
                <w:rFonts w:hint="eastAsia" w:hAnsi="宋体" w:eastAsia="宋体"/>
                <w:color w:val="auto"/>
                <w:sz w:val="21"/>
                <w:szCs w:val="21"/>
                <w:highlight w:val="none"/>
              </w:rPr>
              <w:t>培训计划、培训及支持方案（6分）</w:t>
            </w:r>
          </w:p>
          <w:p w14:paraId="04C50C53">
            <w:pPr>
              <w:pStyle w:val="25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综合评定优秀，经评审委员会认定投标人具有完善且详细的年度培训计划、培训及支持方案的得6分；综合评定良好，经评审委员会认定投标人具有比较完善的年度培训计划、培训及支持方案的得4分；综合评定一般，基本能满足项目实施需要的得2分；</w:t>
            </w:r>
            <w:r>
              <w:rPr>
                <w:rFonts w:hint="eastAsia" w:hAnsi="宋体" w:eastAsia="宋体" w:cs="宋体"/>
                <w:color w:val="auto"/>
                <w:sz w:val="21"/>
                <w:szCs w:val="21"/>
                <w:highlight w:val="none"/>
              </w:rPr>
              <w:t>无相关内容不得分。</w:t>
            </w:r>
          </w:p>
        </w:tc>
        <w:tc>
          <w:tcPr>
            <w:tcW w:w="665" w:type="dxa"/>
            <w:vAlign w:val="center"/>
          </w:tcPr>
          <w:p w14:paraId="1676852D">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6</w:t>
            </w:r>
          </w:p>
        </w:tc>
      </w:tr>
      <w:tr w14:paraId="6B8A8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2" w:type="dxa"/>
            <w:vAlign w:val="center"/>
          </w:tcPr>
          <w:p w14:paraId="33923B32">
            <w:pPr>
              <w:spacing w:line="360" w:lineRule="auto"/>
              <w:jc w:val="center"/>
              <w:rPr>
                <w:rFonts w:hint="eastAsia" w:ascii="宋体" w:hAnsi="宋体" w:cs="宋体"/>
                <w:b/>
                <w:bCs/>
                <w:color w:val="auto"/>
                <w:szCs w:val="21"/>
                <w:highlight w:val="none"/>
              </w:rPr>
            </w:pPr>
            <w:r>
              <w:rPr>
                <w:rFonts w:hint="eastAsia" w:ascii="宋体" w:hAnsi="宋体" w:cs="宋体"/>
                <w:b/>
                <w:bCs/>
                <w:color w:val="auto"/>
                <w:szCs w:val="21"/>
                <w:highlight w:val="none"/>
              </w:rPr>
              <w:t>二、</w:t>
            </w:r>
          </w:p>
        </w:tc>
        <w:tc>
          <w:tcPr>
            <w:tcW w:w="8521" w:type="dxa"/>
            <w:gridSpan w:val="3"/>
            <w:vAlign w:val="center"/>
          </w:tcPr>
          <w:p w14:paraId="0BF5B0C1">
            <w:pPr>
              <w:spacing w:line="360" w:lineRule="auto"/>
              <w:rPr>
                <w:rFonts w:hint="eastAsia" w:ascii="宋体" w:hAnsi="宋体" w:cs="宋体"/>
                <w:b/>
                <w:bCs/>
                <w:color w:val="auto"/>
                <w:szCs w:val="21"/>
                <w:highlight w:val="none"/>
              </w:rPr>
            </w:pPr>
            <w:r>
              <w:rPr>
                <w:rFonts w:hint="eastAsia" w:hAnsi="宋体" w:cs="宋体"/>
                <w:b/>
                <w:bCs/>
                <w:color w:val="auto"/>
                <w:szCs w:val="21"/>
                <w:highlight w:val="none"/>
              </w:rPr>
              <w:t>投标人管理体系资质证书比较（3分）</w:t>
            </w:r>
          </w:p>
        </w:tc>
      </w:tr>
      <w:tr w14:paraId="41D33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8608" w:type="dxa"/>
            <w:gridSpan w:val="3"/>
            <w:vAlign w:val="center"/>
          </w:tcPr>
          <w:p w14:paraId="3CC7B022">
            <w:pPr>
              <w:pStyle w:val="25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该管理体系认证业务范围需与本项目服务内容相关，证书须在有效期内，认证机构需国家认监委备案的合法机构，（需提供证书复印件以及上述证书在全国认证认可信息公共服务平台查询到的清晰页面截图；投标文件中需提供加盖公章的证明材料，缺失、不符或不提供者，对应项不得分），否则不得分。</w:t>
            </w:r>
          </w:p>
          <w:p w14:paraId="53BCDA66">
            <w:pPr>
              <w:pStyle w:val="255"/>
              <w:spacing w:line="360" w:lineRule="auto"/>
              <w:rPr>
                <w:rFonts w:hint="eastAsia" w:hAnsi="宋体" w:eastAsia="宋体"/>
                <w:color w:val="auto"/>
                <w:sz w:val="21"/>
                <w:szCs w:val="21"/>
                <w:highlight w:val="none"/>
              </w:rPr>
            </w:pPr>
            <w:r>
              <w:rPr>
                <w:rFonts w:hAnsi="宋体" w:eastAsia="宋体"/>
                <w:color w:val="auto"/>
                <w:sz w:val="21"/>
                <w:szCs w:val="21"/>
                <w:highlight w:val="none"/>
              </w:rPr>
              <w:t>1</w:t>
            </w:r>
            <w:r>
              <w:rPr>
                <w:rFonts w:hint="eastAsia" w:hAnsi="宋体" w:eastAsia="宋体"/>
                <w:color w:val="auto"/>
                <w:sz w:val="21"/>
                <w:szCs w:val="21"/>
                <w:highlight w:val="none"/>
              </w:rPr>
              <w:t>、</w:t>
            </w:r>
            <w:r>
              <w:rPr>
                <w:rFonts w:hAnsi="宋体" w:eastAsia="宋体"/>
                <w:color w:val="auto"/>
                <w:sz w:val="21"/>
                <w:szCs w:val="21"/>
                <w:highlight w:val="none"/>
              </w:rPr>
              <w:t>ISO9001</w:t>
            </w:r>
            <w:r>
              <w:rPr>
                <w:rFonts w:hint="eastAsia" w:hAnsi="宋体" w:eastAsia="宋体"/>
                <w:color w:val="auto"/>
                <w:sz w:val="21"/>
                <w:szCs w:val="21"/>
                <w:highlight w:val="none"/>
              </w:rPr>
              <w:t>质量管理体系证书，</w:t>
            </w:r>
            <w:r>
              <w:rPr>
                <w:rFonts w:hAnsi="宋体" w:eastAsia="宋体"/>
                <w:color w:val="auto"/>
                <w:sz w:val="21"/>
                <w:szCs w:val="21"/>
                <w:highlight w:val="none"/>
              </w:rPr>
              <w:t>1</w:t>
            </w:r>
            <w:r>
              <w:rPr>
                <w:rFonts w:hint="eastAsia" w:hAnsi="宋体" w:eastAsia="宋体"/>
                <w:color w:val="auto"/>
                <w:sz w:val="21"/>
                <w:szCs w:val="21"/>
                <w:highlight w:val="none"/>
              </w:rPr>
              <w:t>分；</w:t>
            </w:r>
          </w:p>
          <w:p w14:paraId="0F1350ED">
            <w:pPr>
              <w:pStyle w:val="255"/>
              <w:spacing w:line="360" w:lineRule="auto"/>
              <w:rPr>
                <w:rFonts w:hint="eastAsia" w:hAnsi="宋体" w:eastAsia="宋体"/>
                <w:color w:val="auto"/>
                <w:sz w:val="21"/>
                <w:szCs w:val="21"/>
                <w:highlight w:val="none"/>
              </w:rPr>
            </w:pPr>
            <w:r>
              <w:rPr>
                <w:rFonts w:hAnsi="宋体" w:eastAsia="宋体"/>
                <w:color w:val="auto"/>
                <w:sz w:val="21"/>
                <w:szCs w:val="21"/>
                <w:highlight w:val="none"/>
              </w:rPr>
              <w:t>2</w:t>
            </w:r>
            <w:r>
              <w:rPr>
                <w:rFonts w:hint="eastAsia" w:hAnsi="宋体" w:eastAsia="宋体"/>
                <w:color w:val="auto"/>
                <w:sz w:val="21"/>
                <w:szCs w:val="21"/>
                <w:highlight w:val="none"/>
              </w:rPr>
              <w:t>、</w:t>
            </w:r>
            <w:r>
              <w:rPr>
                <w:rFonts w:hAnsi="宋体" w:eastAsia="宋体"/>
                <w:color w:val="auto"/>
                <w:sz w:val="21"/>
                <w:szCs w:val="21"/>
                <w:highlight w:val="none"/>
              </w:rPr>
              <w:t>ISO14001</w:t>
            </w:r>
            <w:r>
              <w:rPr>
                <w:rFonts w:hint="eastAsia" w:hAnsi="宋体" w:eastAsia="宋体"/>
                <w:color w:val="auto"/>
                <w:sz w:val="21"/>
                <w:szCs w:val="21"/>
                <w:highlight w:val="none"/>
              </w:rPr>
              <w:t>环境质量认证书，</w:t>
            </w:r>
            <w:r>
              <w:rPr>
                <w:rFonts w:hAnsi="宋体" w:eastAsia="宋体"/>
                <w:color w:val="auto"/>
                <w:sz w:val="21"/>
                <w:szCs w:val="21"/>
                <w:highlight w:val="none"/>
              </w:rPr>
              <w:t>1</w:t>
            </w:r>
            <w:r>
              <w:rPr>
                <w:rFonts w:hint="eastAsia" w:hAnsi="宋体" w:eastAsia="宋体"/>
                <w:color w:val="auto"/>
                <w:sz w:val="21"/>
                <w:szCs w:val="21"/>
                <w:highlight w:val="none"/>
              </w:rPr>
              <w:t>分；</w:t>
            </w:r>
          </w:p>
          <w:p w14:paraId="73144DB7">
            <w:pPr>
              <w:pStyle w:val="255"/>
              <w:spacing w:line="360" w:lineRule="auto"/>
              <w:rPr>
                <w:rFonts w:hint="eastAsia" w:hAnsi="宋体" w:eastAsia="宋体" w:cs="宋体"/>
                <w:color w:val="auto"/>
                <w:sz w:val="21"/>
                <w:szCs w:val="21"/>
                <w:highlight w:val="none"/>
              </w:rPr>
            </w:pPr>
            <w:r>
              <w:rPr>
                <w:rFonts w:hAnsi="宋体" w:eastAsia="宋体"/>
                <w:color w:val="auto"/>
                <w:sz w:val="21"/>
                <w:szCs w:val="21"/>
                <w:highlight w:val="none"/>
              </w:rPr>
              <w:t>3</w:t>
            </w:r>
            <w:r>
              <w:rPr>
                <w:rFonts w:hint="eastAsia" w:hAnsi="宋体" w:eastAsia="宋体"/>
                <w:color w:val="auto"/>
                <w:sz w:val="21"/>
                <w:szCs w:val="21"/>
                <w:highlight w:val="none"/>
              </w:rPr>
              <w:t>、</w:t>
            </w:r>
            <w:r>
              <w:rPr>
                <w:rFonts w:hAnsi="宋体" w:eastAsia="宋体"/>
                <w:color w:val="auto"/>
                <w:sz w:val="21"/>
                <w:szCs w:val="21"/>
                <w:highlight w:val="none"/>
              </w:rPr>
              <w:t>OHSAS18001</w:t>
            </w:r>
            <w:r>
              <w:rPr>
                <w:rFonts w:hint="eastAsia" w:hAnsi="宋体" w:eastAsia="宋体"/>
                <w:color w:val="auto"/>
                <w:sz w:val="21"/>
                <w:szCs w:val="21"/>
                <w:highlight w:val="none"/>
              </w:rPr>
              <w:t>职业健康安全管理体系认证，</w:t>
            </w:r>
            <w:r>
              <w:rPr>
                <w:rFonts w:hAnsi="宋体" w:eastAsia="宋体"/>
                <w:color w:val="auto"/>
                <w:sz w:val="21"/>
                <w:szCs w:val="21"/>
                <w:highlight w:val="none"/>
              </w:rPr>
              <w:t>1</w:t>
            </w:r>
            <w:r>
              <w:rPr>
                <w:rFonts w:hint="eastAsia" w:hAnsi="宋体" w:eastAsia="宋体"/>
                <w:color w:val="auto"/>
                <w:sz w:val="21"/>
                <w:szCs w:val="21"/>
                <w:highlight w:val="none"/>
              </w:rPr>
              <w:t>分；</w:t>
            </w:r>
          </w:p>
        </w:tc>
        <w:tc>
          <w:tcPr>
            <w:tcW w:w="665" w:type="dxa"/>
            <w:vAlign w:val="center"/>
          </w:tcPr>
          <w:p w14:paraId="6CF65978">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3</w:t>
            </w:r>
          </w:p>
        </w:tc>
      </w:tr>
      <w:tr w14:paraId="63A40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2" w:type="dxa"/>
            <w:vAlign w:val="center"/>
          </w:tcPr>
          <w:p w14:paraId="5E182A2C">
            <w:pPr>
              <w:spacing w:line="360" w:lineRule="auto"/>
              <w:jc w:val="center"/>
              <w:rPr>
                <w:rFonts w:hint="eastAsia" w:ascii="宋体" w:hAnsi="宋体" w:cs="宋体"/>
                <w:b/>
                <w:bCs/>
                <w:color w:val="auto"/>
                <w:szCs w:val="21"/>
                <w:highlight w:val="none"/>
              </w:rPr>
            </w:pPr>
            <w:r>
              <w:rPr>
                <w:rFonts w:hint="eastAsia" w:ascii="宋体" w:hAnsi="宋体" w:cs="宋体"/>
                <w:b/>
                <w:bCs/>
                <w:color w:val="auto"/>
                <w:szCs w:val="21"/>
                <w:highlight w:val="none"/>
              </w:rPr>
              <w:t>三、</w:t>
            </w:r>
          </w:p>
        </w:tc>
        <w:tc>
          <w:tcPr>
            <w:tcW w:w="8521" w:type="dxa"/>
            <w:gridSpan w:val="3"/>
            <w:vAlign w:val="center"/>
          </w:tcPr>
          <w:p w14:paraId="6016BED6">
            <w:pPr>
              <w:spacing w:line="360" w:lineRule="auto"/>
              <w:rPr>
                <w:rFonts w:hint="eastAsia" w:ascii="宋体" w:hAnsi="宋体" w:cs="宋体"/>
                <w:b/>
                <w:bCs/>
                <w:color w:val="auto"/>
                <w:szCs w:val="21"/>
                <w:highlight w:val="none"/>
              </w:rPr>
            </w:pPr>
            <w:r>
              <w:rPr>
                <w:rFonts w:hint="eastAsia" w:hAnsi="宋体" w:cs="宋体"/>
                <w:b/>
                <w:bCs/>
                <w:color w:val="auto"/>
                <w:szCs w:val="21"/>
                <w:highlight w:val="none"/>
              </w:rPr>
              <w:t>投标人类似业绩比较（10分）</w:t>
            </w:r>
          </w:p>
        </w:tc>
      </w:tr>
      <w:tr w14:paraId="68582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8608" w:type="dxa"/>
            <w:gridSpan w:val="3"/>
            <w:vAlign w:val="center"/>
          </w:tcPr>
          <w:p w14:paraId="26465279">
            <w:pPr>
              <w:pStyle w:val="25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投标人在</w:t>
            </w:r>
            <w:r>
              <w:rPr>
                <w:rFonts w:hAnsi="宋体" w:eastAsia="宋体"/>
                <w:color w:val="auto"/>
                <w:sz w:val="21"/>
                <w:szCs w:val="21"/>
                <w:highlight w:val="none"/>
              </w:rPr>
              <w:t>20</w:t>
            </w:r>
            <w:r>
              <w:rPr>
                <w:rFonts w:hint="eastAsia" w:hAnsi="宋体" w:eastAsia="宋体"/>
                <w:color w:val="auto"/>
                <w:sz w:val="21"/>
                <w:szCs w:val="21"/>
                <w:highlight w:val="none"/>
              </w:rPr>
              <w:t>22年</w:t>
            </w:r>
            <w:r>
              <w:rPr>
                <w:rFonts w:hAnsi="宋体" w:eastAsia="宋体"/>
                <w:color w:val="auto"/>
                <w:sz w:val="21"/>
                <w:szCs w:val="21"/>
                <w:highlight w:val="none"/>
              </w:rPr>
              <w:t>1</w:t>
            </w:r>
            <w:r>
              <w:rPr>
                <w:rFonts w:hint="eastAsia" w:hAnsi="宋体" w:eastAsia="宋体"/>
                <w:color w:val="auto"/>
                <w:sz w:val="21"/>
                <w:szCs w:val="21"/>
                <w:highlight w:val="none"/>
              </w:rPr>
              <w:t>月</w:t>
            </w:r>
            <w:r>
              <w:rPr>
                <w:rFonts w:hAnsi="宋体" w:eastAsia="宋体"/>
                <w:color w:val="auto"/>
                <w:sz w:val="21"/>
                <w:szCs w:val="21"/>
                <w:highlight w:val="none"/>
              </w:rPr>
              <w:t>1</w:t>
            </w:r>
            <w:r>
              <w:rPr>
                <w:rFonts w:hint="eastAsia" w:hAnsi="宋体" w:eastAsia="宋体"/>
                <w:color w:val="auto"/>
                <w:sz w:val="21"/>
                <w:szCs w:val="21"/>
                <w:highlight w:val="none"/>
              </w:rPr>
              <w:t>日至今在服务期内或履约完成的类似项目业绩（至少包含陪护或护工服务）的比较：每提供一份得</w:t>
            </w:r>
            <w:r>
              <w:rPr>
                <w:rFonts w:hAnsi="宋体" w:eastAsia="宋体"/>
                <w:color w:val="auto"/>
                <w:sz w:val="21"/>
                <w:szCs w:val="21"/>
                <w:highlight w:val="none"/>
              </w:rPr>
              <w:t>2</w:t>
            </w:r>
            <w:r>
              <w:rPr>
                <w:rFonts w:hint="eastAsia" w:hAnsi="宋体" w:eastAsia="宋体"/>
                <w:color w:val="auto"/>
                <w:sz w:val="21"/>
                <w:szCs w:val="21"/>
                <w:highlight w:val="none"/>
              </w:rPr>
              <w:t>分，最高10分。</w:t>
            </w:r>
          </w:p>
          <w:p w14:paraId="72D6A486">
            <w:pPr>
              <w:pStyle w:val="255"/>
              <w:spacing w:line="360" w:lineRule="auto"/>
              <w:ind w:firstLine="420"/>
              <w:rPr>
                <w:rFonts w:hint="eastAsia" w:hAnsi="宋体" w:eastAsia="宋体"/>
                <w:color w:val="auto"/>
                <w:sz w:val="21"/>
                <w:szCs w:val="21"/>
                <w:highlight w:val="none"/>
              </w:rPr>
            </w:pPr>
            <w:r>
              <w:rPr>
                <w:rFonts w:hint="eastAsia" w:hAnsi="宋体" w:eastAsia="宋体"/>
                <w:color w:val="auto"/>
                <w:sz w:val="21"/>
                <w:szCs w:val="21"/>
                <w:highlight w:val="none"/>
              </w:rPr>
              <w:t>注对合同的具体要求：</w:t>
            </w:r>
          </w:p>
          <w:p w14:paraId="2F72AE34">
            <w:pPr>
              <w:pStyle w:val="255"/>
              <w:spacing w:line="360" w:lineRule="auto"/>
              <w:ind w:firstLine="420"/>
              <w:rPr>
                <w:rFonts w:hint="eastAsia" w:hAnsi="宋体" w:eastAsia="宋体"/>
                <w:color w:val="auto"/>
                <w:sz w:val="21"/>
                <w:szCs w:val="21"/>
                <w:highlight w:val="none"/>
              </w:rPr>
            </w:pPr>
            <w:r>
              <w:rPr>
                <w:rFonts w:hAnsi="宋体" w:eastAsia="宋体"/>
                <w:color w:val="auto"/>
                <w:sz w:val="21"/>
                <w:szCs w:val="21"/>
                <w:highlight w:val="none"/>
              </w:rPr>
              <w:t>&lt;1&gt;</w:t>
            </w:r>
            <w:r>
              <w:rPr>
                <w:rFonts w:hint="eastAsia" w:hAnsi="宋体" w:eastAsia="宋体"/>
                <w:color w:val="auto"/>
                <w:sz w:val="21"/>
                <w:szCs w:val="21"/>
                <w:highlight w:val="none"/>
              </w:rPr>
              <w:t>投标人需根据上述要求提供有效合同资料，不累计得分。投标文件中须附服务合同及销售发票等资料的复印件加盖公章。资料不全不得分。</w:t>
            </w:r>
          </w:p>
          <w:p w14:paraId="5D91CEBD">
            <w:pPr>
              <w:pStyle w:val="255"/>
              <w:spacing w:line="360" w:lineRule="auto"/>
              <w:ind w:firstLine="420"/>
              <w:rPr>
                <w:rFonts w:hint="eastAsia" w:hAnsi="宋体" w:eastAsia="宋体" w:cs="宋体"/>
                <w:b/>
                <w:bCs/>
                <w:color w:val="auto"/>
                <w:sz w:val="21"/>
                <w:szCs w:val="21"/>
                <w:highlight w:val="none"/>
              </w:rPr>
            </w:pPr>
            <w:r>
              <w:rPr>
                <w:rFonts w:hAnsi="宋体" w:eastAsia="宋体"/>
                <w:color w:val="auto"/>
                <w:sz w:val="21"/>
                <w:szCs w:val="21"/>
                <w:highlight w:val="none"/>
              </w:rPr>
              <w:t>&lt;2&gt;</w:t>
            </w:r>
            <w:r>
              <w:rPr>
                <w:rFonts w:hint="eastAsia" w:hAnsi="宋体" w:eastAsia="宋体"/>
                <w:color w:val="auto"/>
                <w:sz w:val="21"/>
                <w:szCs w:val="21"/>
                <w:highlight w:val="none"/>
              </w:rPr>
              <w:t>合同在</w:t>
            </w:r>
            <w:r>
              <w:rPr>
                <w:rFonts w:hAnsi="宋体" w:eastAsia="宋体"/>
                <w:color w:val="auto"/>
                <w:sz w:val="21"/>
                <w:szCs w:val="21"/>
                <w:highlight w:val="none"/>
              </w:rPr>
              <w:t>20</w:t>
            </w:r>
            <w:r>
              <w:rPr>
                <w:rFonts w:hint="eastAsia" w:hAnsi="宋体" w:eastAsia="宋体"/>
                <w:color w:val="auto"/>
                <w:sz w:val="21"/>
                <w:szCs w:val="21"/>
                <w:highlight w:val="none"/>
              </w:rPr>
              <w:t>22年</w:t>
            </w:r>
            <w:r>
              <w:rPr>
                <w:rFonts w:hAnsi="宋体" w:eastAsia="宋体"/>
                <w:color w:val="auto"/>
                <w:sz w:val="21"/>
                <w:szCs w:val="21"/>
                <w:highlight w:val="none"/>
              </w:rPr>
              <w:t>1</w:t>
            </w:r>
            <w:r>
              <w:rPr>
                <w:rFonts w:hint="eastAsia" w:hAnsi="宋体" w:eastAsia="宋体"/>
                <w:color w:val="auto"/>
                <w:sz w:val="21"/>
                <w:szCs w:val="21"/>
                <w:highlight w:val="none"/>
              </w:rPr>
              <w:t>月</w:t>
            </w:r>
            <w:r>
              <w:rPr>
                <w:rFonts w:hAnsi="宋体" w:eastAsia="宋体"/>
                <w:color w:val="auto"/>
                <w:sz w:val="21"/>
                <w:szCs w:val="21"/>
                <w:highlight w:val="none"/>
              </w:rPr>
              <w:t>1</w:t>
            </w:r>
            <w:r>
              <w:rPr>
                <w:rFonts w:hint="eastAsia" w:hAnsi="宋体" w:eastAsia="宋体"/>
                <w:color w:val="auto"/>
                <w:sz w:val="21"/>
                <w:szCs w:val="21"/>
                <w:highlight w:val="none"/>
              </w:rPr>
              <w:t>日以后签订，服务期限须</w:t>
            </w:r>
            <w:r>
              <w:rPr>
                <w:rFonts w:hAnsi="宋体" w:eastAsia="宋体"/>
                <w:color w:val="auto"/>
                <w:sz w:val="21"/>
                <w:szCs w:val="21"/>
                <w:highlight w:val="none"/>
              </w:rPr>
              <w:t>1</w:t>
            </w:r>
            <w:r>
              <w:rPr>
                <w:rFonts w:hint="eastAsia" w:hAnsi="宋体" w:eastAsia="宋体"/>
                <w:color w:val="auto"/>
                <w:sz w:val="21"/>
                <w:szCs w:val="21"/>
                <w:highlight w:val="none"/>
              </w:rPr>
              <w:t>年及以上；合同服务期限在一年以上的，必须至少履行一个完整年度（</w:t>
            </w:r>
            <w:r>
              <w:rPr>
                <w:rFonts w:hAnsi="宋体" w:eastAsia="宋体"/>
                <w:color w:val="auto"/>
                <w:sz w:val="21"/>
                <w:szCs w:val="21"/>
                <w:highlight w:val="none"/>
              </w:rPr>
              <w:t>12</w:t>
            </w:r>
            <w:r>
              <w:rPr>
                <w:rFonts w:hint="eastAsia" w:hAnsi="宋体" w:eastAsia="宋体"/>
                <w:color w:val="auto"/>
                <w:sz w:val="21"/>
                <w:szCs w:val="21"/>
                <w:highlight w:val="none"/>
              </w:rPr>
              <w:t>个月）。</w:t>
            </w:r>
          </w:p>
        </w:tc>
        <w:tc>
          <w:tcPr>
            <w:tcW w:w="665" w:type="dxa"/>
            <w:vAlign w:val="center"/>
          </w:tcPr>
          <w:p w14:paraId="3DB51E4C">
            <w:pPr>
              <w:spacing w:line="360" w:lineRule="auto"/>
              <w:rPr>
                <w:rFonts w:hint="eastAsia" w:hAnsi="宋体" w:cs="宋体"/>
                <w:b/>
                <w:bCs/>
                <w:color w:val="auto"/>
                <w:szCs w:val="21"/>
                <w:highlight w:val="none"/>
              </w:rPr>
            </w:pPr>
            <w:r>
              <w:rPr>
                <w:rFonts w:hint="eastAsia" w:hAnsi="宋体" w:cs="宋体"/>
                <w:b/>
                <w:bCs/>
                <w:color w:val="auto"/>
                <w:szCs w:val="21"/>
                <w:highlight w:val="none"/>
              </w:rPr>
              <w:t>10</w:t>
            </w:r>
          </w:p>
        </w:tc>
      </w:tr>
    </w:tbl>
    <w:p w14:paraId="195778D0">
      <w:pPr>
        <w:spacing w:line="360" w:lineRule="auto"/>
        <w:rPr>
          <w:rFonts w:hint="eastAsia" w:ascii="宋体" w:hAnsi="宋体" w:cs="宋体"/>
          <w:bCs/>
          <w:color w:val="auto"/>
          <w:szCs w:val="21"/>
          <w:highlight w:val="none"/>
        </w:rPr>
      </w:pPr>
    </w:p>
    <w:p w14:paraId="4BC28353">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备注：</w:t>
      </w:r>
    </w:p>
    <w:p w14:paraId="0034F719">
      <w:pPr>
        <w:spacing w:line="360" w:lineRule="auto"/>
        <w:ind w:firstLine="420"/>
        <w:rPr>
          <w:rFonts w:hint="eastAsia" w:ascii="宋体" w:hAnsi="宋体" w:cs="宋体"/>
          <w:bCs/>
          <w:color w:val="auto"/>
          <w:szCs w:val="21"/>
          <w:highlight w:val="none"/>
        </w:rPr>
      </w:pPr>
      <w:r>
        <w:rPr>
          <w:rFonts w:ascii="宋体" w:hAnsi="宋体" w:cs="宋体"/>
          <w:bCs/>
          <w:color w:val="auto"/>
          <w:szCs w:val="21"/>
          <w:highlight w:val="none"/>
        </w:rPr>
        <w:t>1</w:t>
      </w:r>
      <w:r>
        <w:rPr>
          <w:rFonts w:hint="eastAsia" w:ascii="宋体" w:hAnsi="宋体" w:cs="宋体"/>
          <w:bCs/>
          <w:color w:val="auto"/>
          <w:szCs w:val="21"/>
          <w:highlight w:val="none"/>
        </w:rPr>
        <w:t>.针对评分标准中评分的每一条，供应商均应提供相关资料并作出相应说明供评委评判，不提供相关资料的视为不具备该项得分的条件。</w:t>
      </w:r>
    </w:p>
    <w:p w14:paraId="0AF83BCC">
      <w:pPr>
        <w:spacing w:line="360" w:lineRule="auto"/>
        <w:ind w:firstLine="420"/>
        <w:rPr>
          <w:rFonts w:hint="eastAsia" w:ascii="宋体" w:hAnsi="宋体" w:cs="宋体"/>
          <w:bCs/>
          <w:color w:val="auto"/>
          <w:szCs w:val="21"/>
          <w:highlight w:val="none"/>
        </w:rPr>
      </w:pPr>
      <w:r>
        <w:rPr>
          <w:rFonts w:ascii="宋体" w:hAnsi="宋体" w:cs="宋体"/>
          <w:bCs/>
          <w:color w:val="auto"/>
          <w:szCs w:val="21"/>
          <w:highlight w:val="none"/>
        </w:rPr>
        <w:t>2</w:t>
      </w:r>
      <w:r>
        <w:rPr>
          <w:rFonts w:hint="eastAsia" w:ascii="宋体" w:hAnsi="宋体" w:cs="宋体"/>
          <w:bCs/>
          <w:color w:val="auto"/>
          <w:szCs w:val="21"/>
          <w:highlight w:val="none"/>
        </w:rPr>
        <w:t>.响应文件中如出现前后不一致时，评委有权请供应商澄清说明，澄清说明事项涉及评分时，评委有权酌情扣分。</w:t>
      </w:r>
    </w:p>
    <w:p w14:paraId="701AC00C">
      <w:pPr>
        <w:spacing w:line="360" w:lineRule="auto"/>
        <w:ind w:firstLine="420"/>
        <w:rPr>
          <w:rFonts w:hint="eastAsia" w:ascii="宋体" w:hAnsi="宋体"/>
          <w:bCs/>
          <w:color w:val="auto"/>
          <w:sz w:val="44"/>
          <w:szCs w:val="44"/>
          <w:highlight w:val="none"/>
        </w:rPr>
      </w:pPr>
      <w:r>
        <w:rPr>
          <w:rFonts w:ascii="宋体" w:hAnsi="宋体" w:cs="宋体"/>
          <w:bCs/>
          <w:color w:val="auto"/>
          <w:szCs w:val="21"/>
          <w:highlight w:val="none"/>
        </w:rPr>
        <w:t>3</w:t>
      </w:r>
      <w:r>
        <w:rPr>
          <w:rFonts w:hint="eastAsia" w:ascii="宋体" w:hAnsi="宋体" w:cs="宋体"/>
          <w:bCs/>
          <w:color w:val="auto"/>
          <w:szCs w:val="21"/>
          <w:highlight w:val="none"/>
        </w:rPr>
        <w:t>.供应商必须保证全部响应资料的真实性，如有虚假或对采购文件所要求说明的情况故意隐瞒或虚报，视为不实质性响应采购文件，为无效响应，已成交的将取消成交资格，按“提供虚假材料谋取成交”相关处理办。</w:t>
      </w:r>
    </w:p>
    <w:p w14:paraId="4D468AC1">
      <w:pPr>
        <w:spacing w:line="440" w:lineRule="exact"/>
        <w:ind w:firstLine="422"/>
        <w:rPr>
          <w:rFonts w:hint="eastAsia" w:ascii="宋体" w:hAnsi="宋体" w:cs="宋体"/>
          <w:b/>
          <w:color w:val="auto"/>
          <w:szCs w:val="21"/>
          <w:highlight w:val="none"/>
        </w:rPr>
      </w:pPr>
    </w:p>
    <w:p w14:paraId="2645E927">
      <w:pPr>
        <w:pStyle w:val="202"/>
        <w:ind w:firstLine="0"/>
        <w:jc w:val="right"/>
        <w:outlineLvl w:val="0"/>
        <w:rPr>
          <w:rFonts w:ascii="Cambria" w:hAnsi="Cambria" w:cs="宋体"/>
          <w:b/>
          <w:bCs/>
          <w:color w:val="auto"/>
          <w:highlight w:val="none"/>
          <w:lang w:val="en-US"/>
        </w:rPr>
      </w:pPr>
      <w:bookmarkStart w:id="73" w:name="_Toc2166"/>
      <w:r>
        <w:rPr>
          <w:rFonts w:hint="eastAsia" w:ascii="Cambria" w:hAnsi="Cambria" w:cs="宋体"/>
          <w:b/>
          <w:bCs/>
          <w:color w:val="auto"/>
          <w:highlight w:val="none"/>
          <w:lang w:val="en-US"/>
        </w:rPr>
        <w:t>（全文完）</w:t>
      </w:r>
      <w:bookmarkEnd w:id="73"/>
    </w:p>
    <w:p w14:paraId="630E4B3E">
      <w:pPr>
        <w:pStyle w:val="202"/>
        <w:ind w:firstLine="0"/>
        <w:jc w:val="right"/>
        <w:outlineLvl w:val="0"/>
        <w:rPr>
          <w:rFonts w:ascii="Cambria" w:hAnsi="Cambria" w:cs="宋体"/>
          <w:b/>
          <w:bCs/>
          <w:color w:val="auto"/>
          <w:highlight w:val="none"/>
          <w:lang w:val="en-US"/>
        </w:rPr>
      </w:pPr>
    </w:p>
    <w:p w14:paraId="36696DB4">
      <w:pPr>
        <w:pStyle w:val="202"/>
        <w:ind w:firstLine="0"/>
        <w:jc w:val="right"/>
        <w:outlineLvl w:val="0"/>
        <w:rPr>
          <w:rFonts w:ascii="Cambria" w:hAnsi="Cambria" w:cs="宋体"/>
          <w:b/>
          <w:bCs/>
          <w:color w:val="auto"/>
          <w:highlight w:val="none"/>
          <w:lang w:val="en-US"/>
        </w:rPr>
      </w:pPr>
    </w:p>
    <w:sectPr>
      <w:footerReference r:id="rId7" w:type="first"/>
      <w:footerReference r:id="rId6" w:type="default"/>
      <w:pgSz w:w="11906" w:h="16838"/>
      <w:pgMar w:top="1440" w:right="1165" w:bottom="1440" w:left="1588" w:header="794" w:footer="850" w:gutter="113"/>
      <w:pgNumType w:start="1"/>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8235E7">
    <w:pPr>
      <w:pStyle w:val="26"/>
      <w:pBdr>
        <w:bottom w:val="none" w:color="auto" w:sz="0" w:space="1"/>
      </w:pBd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54B5346">
                          <w:pPr>
                            <w:pStyle w:val="26"/>
                          </w:pPr>
                          <w:r>
                            <w:fldChar w:fldCharType="begin"/>
                          </w:r>
                          <w:r>
                            <w:instrText xml:space="preserve"> PAGE  \* MERGEFORMAT </w:instrText>
                          </w:r>
                          <w:r>
                            <w:fldChar w:fldCharType="separate"/>
                          </w:r>
                          <w:r>
                            <w:t>- 5 -</w:t>
                          </w:r>
                          <w:r>
                            <w:fldChar w:fldCharType="end"/>
                          </w:r>
                        </w:p>
                      </w:txbxContent>
                    </wps:txbx>
                    <wps:bodyPr wrap="none" lIns="0" tIns="0" rIns="0" bIns="0">
                      <a:spAutoFit/>
                    </wps:bodyPr>
                  </wps:wsp>
                </a:graphicData>
              </a:graphic>
            </wp:anchor>
          </w:drawing>
        </mc:Choice>
        <mc:Fallback>
          <w:pict>
            <v:shape id="文本框 2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jKCDUs0BAACcAwAADgAAAAAAAAABACAAAAAeAQAAZHJzL2Uy&#10;b0RvYy54bWxQSwUGAAAAAAYABgBZAQAAXQUAAAAA&#10;">
              <v:fill on="f" focussize="0,0"/>
              <v:stroke on="f"/>
              <v:imagedata o:title=""/>
              <o:lock v:ext="edit" aspectratio="f"/>
              <v:textbox inset="0mm,0mm,0mm,0mm" style="mso-fit-shape-to-text:t;">
                <w:txbxContent>
                  <w:p w14:paraId="254B5346">
                    <w:pPr>
                      <w:pStyle w:val="26"/>
                    </w:pPr>
                    <w:r>
                      <w:fldChar w:fldCharType="begin"/>
                    </w:r>
                    <w:r>
                      <w:instrText xml:space="preserve"> PAGE  \* MERGEFORMAT </w:instrText>
                    </w:r>
                    <w:r>
                      <w:fldChar w:fldCharType="separate"/>
                    </w:r>
                    <w:r>
                      <w:t>- 5 -</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861223">
    <w:pPr>
      <w:pStyle w:val="2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6BB711A">
                          <w:pPr>
                            <w:pStyle w:val="26"/>
                          </w:pPr>
                          <w:r>
                            <w:fldChar w:fldCharType="begin"/>
                          </w:r>
                          <w:r>
                            <w:instrText xml:space="preserve"> PAGE  \* MERGEFORMAT </w:instrText>
                          </w:r>
                          <w:r>
                            <w:fldChar w:fldCharType="separate"/>
                          </w:r>
                          <w:r>
                            <w:t>- 1 -</w:t>
                          </w:r>
                          <w:r>
                            <w:fldChar w:fldCharType="end"/>
                          </w:r>
                        </w:p>
                      </w:txbxContent>
                    </wps:txbx>
                    <wps:bodyPr wrap="none" lIns="0" tIns="0" rIns="0" bIns="0">
                      <a:spAutoFit/>
                    </wps:bodyPr>
                  </wps:wsp>
                </a:graphicData>
              </a:graphic>
            </wp:anchor>
          </w:drawing>
        </mc:Choice>
        <mc:Fallback>
          <w:pict>
            <v:shape id="文本框 2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CH3lxfzAEAAJwDAAAOAAAAAAAAAAEAIAAAAB4BAABkcnMvZTJv&#10;RG9jLnhtbFBLBQYAAAAABgAGAFkBAABcBQAAAAA=&#10;">
              <v:fill on="f" focussize="0,0"/>
              <v:stroke on="f"/>
              <v:imagedata o:title=""/>
              <o:lock v:ext="edit" aspectratio="f"/>
              <v:textbox inset="0mm,0mm,0mm,0mm" style="mso-fit-shape-to-text:t;">
                <w:txbxContent>
                  <w:p w14:paraId="46BB711A">
                    <w:pPr>
                      <w:pStyle w:val="26"/>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330A5D01">
      <w:pPr>
        <w:pStyle w:val="32"/>
        <w:spacing w:line="240" w:lineRule="auto"/>
        <w:ind w:firstLine="0"/>
        <w:rPr>
          <w:rFonts w:hint="eastAsia"/>
          <w:color w:val="000000"/>
        </w:rPr>
      </w:pPr>
      <w:r>
        <w:rPr>
          <w:rFonts w:hint="eastAsia"/>
          <w:color w:val="000000"/>
        </w:rPr>
        <w:t>备注：1</w:t>
      </w:r>
      <w:r>
        <w:rPr>
          <w:color w:val="000000"/>
        </w:rPr>
        <w:t>.</w:t>
      </w:r>
      <w:r>
        <w:rPr>
          <w:rFonts w:hint="eastAsia"/>
          <w:color w:val="000000"/>
        </w:rPr>
        <w:t>从业人员、营业收入、资产总额填报上一年度数据，无上一年度数据的新成立企业可不填报。</w:t>
      </w:r>
    </w:p>
    <w:p w14:paraId="2F9EC9F4">
      <w:pPr>
        <w:pStyle w:val="32"/>
        <w:spacing w:line="240" w:lineRule="auto"/>
        <w:ind w:firstLine="600"/>
        <w:rPr>
          <w:rFonts w:hint="eastAsia"/>
          <w:color w:val="000000"/>
        </w:rPr>
      </w:pPr>
      <w:r>
        <w:rPr>
          <w:color w:val="000000"/>
        </w:rPr>
        <w:t>2.</w:t>
      </w:r>
      <w:r>
        <w:rPr>
          <w:rFonts w:hint="eastAsia"/>
          <w:color w:val="000000"/>
        </w:rPr>
        <w:t>在服务采购项目中，服务由中小企业承接，即提供服务的人员为中小企业依照《中华人民共和国劳动合同法》订立劳动合同的从业人员。服务类项目中供应商若使用退休人员，将不享受相应扶持政策。</w:t>
      </w:r>
    </w:p>
    <w:p w14:paraId="79B66044">
      <w:pPr>
        <w:pStyle w:val="32"/>
        <w:spacing w:line="240" w:lineRule="auto"/>
        <w:ind w:firstLine="600"/>
        <w:rPr>
          <w:rFonts w:hint="eastAsia"/>
          <w:color w:val="000000"/>
        </w:rPr>
      </w:pPr>
      <w:r>
        <w:rPr>
          <w:rFonts w:hint="eastAsia"/>
          <w:color w:val="000000"/>
        </w:rPr>
        <w:t>3</w:t>
      </w:r>
      <w:r>
        <w:rPr>
          <w:color w:val="000000"/>
        </w:rPr>
        <w:t>.</w:t>
      </w:r>
      <w:r>
        <w:rPr>
          <w:rFonts w:hint="eastAsia"/>
          <w:color w:val="000000"/>
        </w:rPr>
        <w:t>《中小企业声明函》中所填的行业应与本采购标的对应的中小企业划分标准所属行业一致，不一致的不可享受相应政策优惠。本采购标的对应的中小企业划分标准所属行业，以采购文件中具体规定为准。</w:t>
      </w:r>
    </w:p>
    <w:p w14:paraId="64980D9B">
      <w:pPr>
        <w:pStyle w:val="32"/>
        <w:spacing w:line="240" w:lineRule="auto"/>
        <w:ind w:firstLine="600"/>
        <w:rPr>
          <w:rFonts w:hint="eastAsia"/>
          <w:color w:val="000000"/>
        </w:rPr>
      </w:pPr>
      <w:r>
        <w:rPr>
          <w:color w:val="000000"/>
        </w:rPr>
        <w:t>4.</w:t>
      </w:r>
      <w:r>
        <w:rPr>
          <w:rFonts w:hint="eastAsia"/>
          <w:color w:val="000000"/>
        </w:rPr>
        <w:t>如未对（中型企业、小型企业、微型企业）进行勾选，视同非中小微企业，不可享受相应扶持政策。</w:t>
      </w:r>
    </w:p>
    <w:p w14:paraId="384EEBB8">
      <w:pPr>
        <w:pStyle w:val="32"/>
        <w:spacing w:line="240" w:lineRule="auto"/>
        <w:ind w:firstLine="600"/>
        <w:rPr>
          <w:rFonts w:hint="eastAsia"/>
        </w:rPr>
      </w:pPr>
      <w:r>
        <w:rPr>
          <w:rFonts w:hint="eastAsia"/>
        </w:rPr>
        <w:t>5</w:t>
      </w:r>
      <w:r>
        <w:t>.</w:t>
      </w:r>
      <w:r>
        <w:rPr>
          <w:rFonts w:hint="eastAsia"/>
        </w:rPr>
        <w:t>成交单位为中小企业的，《中小企业声明函》将随成交结果同时公告。</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144DD5">
    <w:pPr>
      <w:pStyle w:val="28"/>
      <w:jc w:val="left"/>
      <w:rPr>
        <w:rFonts w:hint="eastAsia" w:ascii="楷体" w:hAnsi="楷体" w:eastAsia="楷体" w:cs="楷体"/>
      </w:rPr>
    </w:pPr>
    <w:r>
      <w:rPr>
        <w:rFonts w:hint="eastAsia" w:ascii="楷体" w:hAnsi="楷体" w:eastAsia="楷体" w:cs="楷体"/>
      </w:rPr>
      <w:t xml:space="preserve">政府采购招标文件                                      项目编号：JSZC-320509-DLZB-G2025-0046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C80E61">
    <w:pPr>
      <w:pStyle w:val="28"/>
      <w:jc w:val="left"/>
      <w:rPr>
        <w:rFonts w:eastAsia="楷体"/>
      </w:rPr>
    </w:pPr>
    <w:r>
      <w:rPr>
        <w:rFonts w:hint="eastAsia" w:ascii="楷体" w:hAnsi="楷体" w:eastAsia="楷体" w:cs="楷体"/>
      </w:rPr>
      <w:t>政府采购招标文件                                     项目编号：JSZC-320509-DLZB-G2025-0046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chineseCounting"/>
      <w:suff w:val="nothing"/>
      <w:lvlText w:val="（%1）"/>
      <w:lvlJc w:val="left"/>
      <w:pPr>
        <w:ind w:left="0" w:firstLine="420"/>
      </w:pPr>
      <w:rPr>
        <w:rFonts w:hint="eastAsia"/>
        <w:b/>
        <w:bC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chineseCountingThousand"/>
      <w:lvlText w:val="%1、"/>
      <w:lvlJc w:val="left"/>
      <w:pPr>
        <w:ind w:left="432" w:hanging="432"/>
      </w:pPr>
      <w:rPr>
        <w:rFonts w:hint="eastAsia"/>
      </w:rPr>
    </w:lvl>
    <w:lvl w:ilvl="1" w:tentative="0">
      <w:start w:val="1"/>
      <w:numFmt w:val="chineseCountingThousand"/>
      <w:lvlText w:val="(%2)"/>
      <w:lvlJc w:val="left"/>
      <w:pPr>
        <w:ind w:left="576" w:hanging="576"/>
      </w:pPr>
      <w:rPr>
        <w:rFonts w:hint="eastAsia"/>
      </w:rPr>
    </w:lvl>
    <w:lvl w:ilvl="2" w:tentative="0">
      <w:start w:val="1"/>
      <w:numFmt w:val="decimal"/>
      <w:lvlText w:val="%3"/>
      <w:lvlJc w:val="left"/>
      <w:pPr>
        <w:ind w:left="720" w:hanging="720"/>
      </w:pPr>
      <w:rPr>
        <w:rFonts w:hint="eastAsia"/>
      </w:rPr>
    </w:lvl>
    <w:lvl w:ilvl="3" w:tentative="0">
      <w:start w:val="1"/>
      <w:numFmt w:val="decimal"/>
      <w:pStyle w:val="5"/>
      <w:lvlText w:val="%3.%4"/>
      <w:lvlJc w:val="left"/>
      <w:pPr>
        <w:ind w:left="864" w:hanging="864"/>
      </w:pPr>
      <w:rPr>
        <w:rFonts w:hint="eastAsia"/>
      </w:rPr>
    </w:lvl>
    <w:lvl w:ilvl="4" w:tentative="0">
      <w:start w:val="1"/>
      <w:numFmt w:val="decimal"/>
      <w:lvlText w:val="%3.%4.%5"/>
      <w:lvlJc w:val="left"/>
      <w:pPr>
        <w:ind w:left="1008" w:hanging="1008"/>
      </w:pPr>
      <w:rPr>
        <w:rFonts w:hint="eastAsia"/>
      </w:rPr>
    </w:lvl>
    <w:lvl w:ilvl="5" w:tentative="0">
      <w:start w:val="1"/>
      <w:numFmt w:val="decimal"/>
      <w:lvlText w:val="(%6)"/>
      <w:lvlJc w:val="left"/>
      <w:pPr>
        <w:ind w:left="1152" w:hanging="1152"/>
      </w:pPr>
      <w:rPr>
        <w:rFonts w:hint="eastAsia"/>
      </w:rPr>
    </w:lvl>
    <w:lvl w:ilvl="6" w:tentative="0">
      <w:start w:val="1"/>
      <w:numFmt w:val="none"/>
      <w:lvlText w:val=""/>
      <w:lvlJc w:val="left"/>
      <w:pPr>
        <w:ind w:left="1296" w:hanging="1296"/>
      </w:pPr>
      <w:rPr>
        <w:rFonts w:hint="eastAsia"/>
      </w:rPr>
    </w:lvl>
    <w:lvl w:ilvl="7" w:tentative="0">
      <w:start w:val="1"/>
      <w:numFmt w:val="none"/>
      <w:lvlText w:val=""/>
      <w:lvlJc w:val="left"/>
      <w:pPr>
        <w:ind w:left="1440" w:hanging="1440"/>
      </w:pPr>
      <w:rPr>
        <w:rFonts w:hint="eastAsia"/>
      </w:rPr>
    </w:lvl>
    <w:lvl w:ilvl="8" w:tentative="0">
      <w:start w:val="1"/>
      <w:numFmt w:val="none"/>
      <w:lvlText w:val=""/>
      <w:lvlJc w:val="left"/>
      <w:pPr>
        <w:ind w:left="1584" w:hanging="1584"/>
      </w:pPr>
      <w:rPr>
        <w:rFonts w:hint="eastAsia"/>
      </w:rPr>
    </w:lvl>
  </w:abstractNum>
  <w:abstractNum w:abstractNumId="2">
    <w:nsid w:val="03D62ECE"/>
    <w:multiLevelType w:val="multilevel"/>
    <w:tmpl w:val="03D62ECE"/>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1F97EEA7"/>
    <w:multiLevelType w:val="singleLevel"/>
    <w:tmpl w:val="1F97EEA7"/>
    <w:lvl w:ilvl="0" w:tentative="0">
      <w:start w:val="2"/>
      <w:numFmt w:val="chineseCounting"/>
      <w:suff w:val="nothing"/>
      <w:lvlText w:val="（%1）"/>
      <w:lvlJc w:val="left"/>
      <w:rPr>
        <w:rFonts w:hint="eastAsia"/>
      </w:rPr>
    </w:lvl>
  </w:abstractNum>
  <w:abstractNum w:abstractNumId="4">
    <w:nsid w:val="25B654F3"/>
    <w:multiLevelType w:val="multilevel"/>
    <w:tmpl w:val="25B654F3"/>
    <w:lvl w:ilvl="0" w:tentative="0">
      <w:start w:val="1"/>
      <w:numFmt w:val="chineseCounting"/>
      <w:suff w:val="nothing"/>
      <w:lvlText w:val="%1、"/>
      <w:lvlJc w:val="left"/>
      <w:pPr>
        <w:ind w:left="0" w:firstLine="420"/>
      </w:pPr>
      <w:rPr>
        <w:rFonts w:hint="eastAsia"/>
        <w:b/>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59ADCABA"/>
    <w:multiLevelType w:val="multilevel"/>
    <w:tmpl w:val="59ADCABA"/>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72183CF9"/>
    <w:multiLevelType w:val="multilevel"/>
    <w:tmpl w:val="72183CF9"/>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5"/>
  </w:num>
  <w:num w:numId="4">
    <w:abstractNumId w:val="2"/>
  </w:num>
  <w:num w:numId="5">
    <w:abstractNumId w:val="4"/>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noPunctuationKerning w:val="1"/>
  <w:characterSpacingControl w:val="doNotCompress"/>
  <w:footnotePr>
    <w:footnote w:id="2"/>
    <w:footnote w:id="3"/>
  </w:footnotePr>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KY_MEDREF_DOCUID" w:val="{0641D441-4587-478B-9FEC-DD79DB95C54A}"/>
    <w:docVar w:name="KY_MEDREF_VERSION" w:val="3"/>
  </w:docVars>
  <w:rsids>
    <w:rsidRoot w:val="004F2117"/>
    <w:rsid w:val="004F2117"/>
    <w:rsid w:val="007A4E93"/>
    <w:rsid w:val="008E0C60"/>
    <w:rsid w:val="00922987"/>
    <w:rsid w:val="00AE3ED3"/>
    <w:rsid w:val="02250E04"/>
    <w:rsid w:val="022E44A8"/>
    <w:rsid w:val="026305F6"/>
    <w:rsid w:val="03906A9D"/>
    <w:rsid w:val="04C80BE4"/>
    <w:rsid w:val="05704DD8"/>
    <w:rsid w:val="057E74F5"/>
    <w:rsid w:val="05C07F29"/>
    <w:rsid w:val="0878060D"/>
    <w:rsid w:val="08A94889"/>
    <w:rsid w:val="096864F2"/>
    <w:rsid w:val="09F47CA3"/>
    <w:rsid w:val="0AC21C32"/>
    <w:rsid w:val="0BC83278"/>
    <w:rsid w:val="0BEB340A"/>
    <w:rsid w:val="0C2030B4"/>
    <w:rsid w:val="0CB437FC"/>
    <w:rsid w:val="0E4D5CB6"/>
    <w:rsid w:val="0E890682"/>
    <w:rsid w:val="0F345D26"/>
    <w:rsid w:val="0FCC70AF"/>
    <w:rsid w:val="0FF3288D"/>
    <w:rsid w:val="101316CB"/>
    <w:rsid w:val="102A64CE"/>
    <w:rsid w:val="105B0B5E"/>
    <w:rsid w:val="1131366D"/>
    <w:rsid w:val="11C049F1"/>
    <w:rsid w:val="1215131A"/>
    <w:rsid w:val="125E1FA5"/>
    <w:rsid w:val="12AB744F"/>
    <w:rsid w:val="134E1CE9"/>
    <w:rsid w:val="13A30A48"/>
    <w:rsid w:val="13AC16D1"/>
    <w:rsid w:val="154D0D44"/>
    <w:rsid w:val="15C03212"/>
    <w:rsid w:val="15FD7FC2"/>
    <w:rsid w:val="16C83E57"/>
    <w:rsid w:val="1AF220BF"/>
    <w:rsid w:val="1D210A3A"/>
    <w:rsid w:val="1D617B3A"/>
    <w:rsid w:val="1EC2624D"/>
    <w:rsid w:val="20020FF7"/>
    <w:rsid w:val="20EB1A8B"/>
    <w:rsid w:val="2190618E"/>
    <w:rsid w:val="223905D4"/>
    <w:rsid w:val="2376551F"/>
    <w:rsid w:val="24D6035C"/>
    <w:rsid w:val="24ED12B4"/>
    <w:rsid w:val="25CA741A"/>
    <w:rsid w:val="25D56865"/>
    <w:rsid w:val="26CF59AB"/>
    <w:rsid w:val="27541A0C"/>
    <w:rsid w:val="28221B0A"/>
    <w:rsid w:val="28887BBF"/>
    <w:rsid w:val="29946A38"/>
    <w:rsid w:val="2AC90C66"/>
    <w:rsid w:val="2AE76B06"/>
    <w:rsid w:val="2C777C69"/>
    <w:rsid w:val="2CDE2DF0"/>
    <w:rsid w:val="2D23435A"/>
    <w:rsid w:val="2D6F57F1"/>
    <w:rsid w:val="2D880661"/>
    <w:rsid w:val="2DEF06E0"/>
    <w:rsid w:val="2EEE0998"/>
    <w:rsid w:val="2F177AC5"/>
    <w:rsid w:val="2FB66648"/>
    <w:rsid w:val="30203996"/>
    <w:rsid w:val="30E65DCB"/>
    <w:rsid w:val="31413001"/>
    <w:rsid w:val="32AF043E"/>
    <w:rsid w:val="32D87995"/>
    <w:rsid w:val="33784A33"/>
    <w:rsid w:val="340470CE"/>
    <w:rsid w:val="3422536C"/>
    <w:rsid w:val="34E84D7B"/>
    <w:rsid w:val="35B446E9"/>
    <w:rsid w:val="364E31D7"/>
    <w:rsid w:val="36785717"/>
    <w:rsid w:val="388D2FD0"/>
    <w:rsid w:val="399A59A4"/>
    <w:rsid w:val="3ACA72AB"/>
    <w:rsid w:val="3B620744"/>
    <w:rsid w:val="3CAC611A"/>
    <w:rsid w:val="3ECC2AA4"/>
    <w:rsid w:val="3F484CFB"/>
    <w:rsid w:val="3F874C1D"/>
    <w:rsid w:val="3FD32904"/>
    <w:rsid w:val="400B13AA"/>
    <w:rsid w:val="40545D7D"/>
    <w:rsid w:val="41A2189A"/>
    <w:rsid w:val="423A23B2"/>
    <w:rsid w:val="42B51AA1"/>
    <w:rsid w:val="42BE3311"/>
    <w:rsid w:val="42C85330"/>
    <w:rsid w:val="44057512"/>
    <w:rsid w:val="44623562"/>
    <w:rsid w:val="46366A55"/>
    <w:rsid w:val="47240FA3"/>
    <w:rsid w:val="48647AEF"/>
    <w:rsid w:val="4941426A"/>
    <w:rsid w:val="4A69564B"/>
    <w:rsid w:val="4A9E2E1A"/>
    <w:rsid w:val="4BBD1631"/>
    <w:rsid w:val="4C3C0B3D"/>
    <w:rsid w:val="4CB70A84"/>
    <w:rsid w:val="4CF338F1"/>
    <w:rsid w:val="4E400D22"/>
    <w:rsid w:val="4F5A1A06"/>
    <w:rsid w:val="514A5AAA"/>
    <w:rsid w:val="528D20F2"/>
    <w:rsid w:val="53715570"/>
    <w:rsid w:val="541338E4"/>
    <w:rsid w:val="54837097"/>
    <w:rsid w:val="57980C3B"/>
    <w:rsid w:val="57D44338"/>
    <w:rsid w:val="57E04A72"/>
    <w:rsid w:val="5919648E"/>
    <w:rsid w:val="59945B14"/>
    <w:rsid w:val="5A566545"/>
    <w:rsid w:val="5ADA7E9F"/>
    <w:rsid w:val="5C245875"/>
    <w:rsid w:val="5C493DA9"/>
    <w:rsid w:val="5C653798"/>
    <w:rsid w:val="5DB03139"/>
    <w:rsid w:val="5DB93D9B"/>
    <w:rsid w:val="5DED613B"/>
    <w:rsid w:val="5EB77688"/>
    <w:rsid w:val="60DF1D6B"/>
    <w:rsid w:val="620F48D2"/>
    <w:rsid w:val="63750765"/>
    <w:rsid w:val="640359B6"/>
    <w:rsid w:val="64FE69BB"/>
    <w:rsid w:val="65046BA1"/>
    <w:rsid w:val="657038D9"/>
    <w:rsid w:val="663769A3"/>
    <w:rsid w:val="68105210"/>
    <w:rsid w:val="683F580E"/>
    <w:rsid w:val="69564B94"/>
    <w:rsid w:val="696E0130"/>
    <w:rsid w:val="6A004944"/>
    <w:rsid w:val="6B480E55"/>
    <w:rsid w:val="6CCE7137"/>
    <w:rsid w:val="6DF64B98"/>
    <w:rsid w:val="6E7A7577"/>
    <w:rsid w:val="6EC35CE7"/>
    <w:rsid w:val="700F0193"/>
    <w:rsid w:val="706F2940"/>
    <w:rsid w:val="707D50FC"/>
    <w:rsid w:val="70E320FF"/>
    <w:rsid w:val="71520337"/>
    <w:rsid w:val="71AD7C63"/>
    <w:rsid w:val="721148E6"/>
    <w:rsid w:val="72872262"/>
    <w:rsid w:val="73243F55"/>
    <w:rsid w:val="743B1556"/>
    <w:rsid w:val="7534466A"/>
    <w:rsid w:val="759B0C2F"/>
    <w:rsid w:val="75B01AD0"/>
    <w:rsid w:val="7702635B"/>
    <w:rsid w:val="77A2369A"/>
    <w:rsid w:val="77E93077"/>
    <w:rsid w:val="7A440A39"/>
    <w:rsid w:val="7A7255A6"/>
    <w:rsid w:val="7B3A2568"/>
    <w:rsid w:val="7C030BAC"/>
    <w:rsid w:val="7C330D65"/>
    <w:rsid w:val="7C3F595C"/>
    <w:rsid w:val="7D7E1AA3"/>
    <w:rsid w:val="7D8555F0"/>
    <w:rsid w:val="7EBE0DBA"/>
    <w:rsid w:val="7ED92098"/>
    <w:rsid w:val="7F295B7B"/>
    <w:rsid w:val="7F546B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nhideWhenUsed="0" w:uiPriority="0"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iPriority="99"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qFormat/>
    <w:uiPriority w:val="0"/>
    <w:pPr>
      <w:spacing w:line="480" w:lineRule="auto"/>
      <w:jc w:val="left"/>
      <w:outlineLvl w:val="0"/>
    </w:pPr>
    <w:rPr>
      <w:rFonts w:ascii="宋体" w:hAnsi="宋体" w:cs="宋体"/>
      <w:b/>
      <w:bCs/>
      <w:szCs w:val="21"/>
    </w:rPr>
  </w:style>
  <w:style w:type="paragraph" w:styleId="3">
    <w:name w:val="heading 2"/>
    <w:basedOn w:val="1"/>
    <w:next w:val="1"/>
    <w:link w:val="203"/>
    <w:qFormat/>
    <w:uiPriority w:val="0"/>
    <w:pPr>
      <w:keepNext/>
      <w:keepLines/>
      <w:spacing w:before="260" w:after="260" w:line="413" w:lineRule="auto"/>
      <w:outlineLvl w:val="1"/>
    </w:pPr>
    <w:rPr>
      <w:rFonts w:ascii="Arial" w:hAnsi="Arial" w:eastAsia="黑体"/>
      <w:b/>
      <w:bCs/>
      <w:sz w:val="32"/>
      <w:szCs w:val="32"/>
    </w:rPr>
  </w:style>
  <w:style w:type="paragraph" w:styleId="4">
    <w:name w:val="heading 3"/>
    <w:basedOn w:val="1"/>
    <w:next w:val="1"/>
    <w:link w:val="204"/>
    <w:qFormat/>
    <w:uiPriority w:val="0"/>
    <w:pPr>
      <w:keepNext/>
      <w:keepLines/>
      <w:spacing w:before="260" w:after="260" w:line="416" w:lineRule="auto"/>
      <w:outlineLvl w:val="2"/>
    </w:pPr>
    <w:rPr>
      <w:b/>
      <w:bCs/>
      <w:sz w:val="32"/>
      <w:szCs w:val="32"/>
    </w:rPr>
  </w:style>
  <w:style w:type="paragraph" w:styleId="5">
    <w:name w:val="heading 4"/>
    <w:basedOn w:val="1"/>
    <w:next w:val="1"/>
    <w:qFormat/>
    <w:uiPriority w:val="9"/>
    <w:pPr>
      <w:keepNext/>
      <w:keepLines/>
      <w:numPr>
        <w:ilvl w:val="3"/>
        <w:numId w:val="1"/>
      </w:numPr>
      <w:spacing w:before="280" w:after="156" w:line="376" w:lineRule="auto"/>
      <w:ind w:firstLine="0"/>
      <w:outlineLvl w:val="3"/>
    </w:pPr>
    <w:rPr>
      <w:rFonts w:ascii="Cambria" w:hAnsi="Cambria"/>
      <w:b/>
      <w:bCs/>
      <w:szCs w:val="28"/>
    </w:rPr>
  </w:style>
  <w:style w:type="paragraph" w:styleId="6">
    <w:name w:val="heading 5"/>
    <w:basedOn w:val="1"/>
    <w:next w:val="1"/>
    <w:link w:val="58"/>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5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6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6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62"/>
    <w:unhideWhenUsed/>
    <w:qFormat/>
    <w:uiPriority w:val="9"/>
    <w:pPr>
      <w:keepNext/>
      <w:keepLines/>
      <w:spacing w:before="320" w:after="200"/>
      <w:outlineLvl w:val="8"/>
    </w:pPr>
    <w:rPr>
      <w:rFonts w:ascii="Arial" w:hAnsi="Arial" w:eastAsia="Arial" w:cs="Arial"/>
      <w:i/>
      <w:iCs/>
      <w:szCs w:val="21"/>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11">
    <w:name w:val="toc 7"/>
    <w:basedOn w:val="2"/>
    <w:next w:val="1"/>
    <w:unhideWhenUsed/>
    <w:qFormat/>
    <w:uiPriority w:val="39"/>
    <w:pPr>
      <w:spacing w:after="57"/>
      <w:ind w:left="1701"/>
    </w:pPr>
  </w:style>
  <w:style w:type="paragraph" w:styleId="12">
    <w:name w:val="Normal Indent"/>
    <w:basedOn w:val="1"/>
    <w:next w:val="1"/>
    <w:link w:val="205"/>
    <w:qFormat/>
    <w:uiPriority w:val="0"/>
    <w:pPr>
      <w:ind w:firstLine="420"/>
      <w:jc w:val="left"/>
    </w:pPr>
    <w:rPr>
      <w:rFonts w:eastAsia="楷体_GB2312"/>
      <w:sz w:val="24"/>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link w:val="206"/>
    <w:qFormat/>
    <w:uiPriority w:val="0"/>
    <w:pPr>
      <w:jc w:val="left"/>
    </w:pPr>
  </w:style>
  <w:style w:type="paragraph" w:styleId="15">
    <w:name w:val="Body Text"/>
    <w:basedOn w:val="1"/>
    <w:link w:val="207"/>
    <w:qFormat/>
    <w:uiPriority w:val="0"/>
    <w:pPr>
      <w:tabs>
        <w:tab w:val="left" w:pos="5250"/>
      </w:tabs>
    </w:pPr>
    <w:rPr>
      <w:sz w:val="28"/>
    </w:rPr>
  </w:style>
  <w:style w:type="paragraph" w:styleId="16">
    <w:name w:val="Body Text Indent"/>
    <w:basedOn w:val="1"/>
    <w:qFormat/>
    <w:uiPriority w:val="99"/>
    <w:pPr>
      <w:spacing w:line="300" w:lineRule="auto"/>
      <w:ind w:firstLine="560"/>
      <w:jc w:val="left"/>
    </w:pPr>
    <w:rPr>
      <w:sz w:val="28"/>
    </w:rPr>
  </w:style>
  <w:style w:type="paragraph" w:styleId="17">
    <w:name w:val="List 2"/>
    <w:basedOn w:val="2"/>
    <w:next w:val="11"/>
    <w:qFormat/>
    <w:uiPriority w:val="0"/>
    <w:pPr>
      <w:spacing w:line="240" w:lineRule="auto"/>
      <w:ind w:left="100" w:firstLine="3640"/>
    </w:pPr>
  </w:style>
  <w:style w:type="paragraph" w:styleId="18">
    <w:name w:val="Block Text"/>
    <w:basedOn w:val="2"/>
    <w:next w:val="1"/>
    <w:qFormat/>
    <w:uiPriority w:val="0"/>
    <w:pPr>
      <w:spacing w:line="360" w:lineRule="auto"/>
      <w:ind w:left="630" w:right="-609" w:firstLine="420"/>
    </w:pPr>
    <w:rPr>
      <w:rFonts w:hint="eastAsia" w:ascii="仿宋_GB2312" w:eastAsia="仿宋_GB2312"/>
      <w:szCs w:val="20"/>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widowControl/>
      <w:spacing w:after="100" w:line="259" w:lineRule="auto"/>
      <w:ind w:left="440"/>
      <w:jc w:val="left"/>
    </w:pPr>
    <w:rPr>
      <w:rFonts w:ascii="等线" w:hAnsi="等线" w:eastAsia="等线"/>
      <w:sz w:val="22"/>
      <w:szCs w:val="22"/>
    </w:rPr>
  </w:style>
  <w:style w:type="paragraph" w:styleId="21">
    <w:name w:val="Plain Text"/>
    <w:basedOn w:val="1"/>
    <w:link w:val="208"/>
    <w:qFormat/>
    <w:uiPriority w:val="99"/>
    <w:rPr>
      <w:rFonts w:ascii="宋体" w:hAnsi="Courier New"/>
      <w:szCs w:val="20"/>
    </w:rPr>
  </w:style>
  <w:style w:type="paragraph" w:styleId="22">
    <w:name w:val="toc 8"/>
    <w:basedOn w:val="1"/>
    <w:next w:val="1"/>
    <w:unhideWhenUsed/>
    <w:qFormat/>
    <w:uiPriority w:val="39"/>
    <w:pPr>
      <w:spacing w:after="57"/>
      <w:ind w:left="1984"/>
    </w:pPr>
  </w:style>
  <w:style w:type="paragraph" w:styleId="23">
    <w:name w:val="Date"/>
    <w:basedOn w:val="1"/>
    <w:next w:val="1"/>
    <w:link w:val="209"/>
    <w:qFormat/>
    <w:uiPriority w:val="99"/>
    <w:rPr>
      <w:rFonts w:ascii="宋体" w:hAnsi="宋体"/>
      <w:sz w:val="24"/>
    </w:rPr>
  </w:style>
  <w:style w:type="paragraph" w:styleId="24">
    <w:name w:val="endnote text"/>
    <w:basedOn w:val="1"/>
    <w:link w:val="199"/>
    <w:semiHidden/>
    <w:unhideWhenUsed/>
    <w:qFormat/>
    <w:uiPriority w:val="99"/>
    <w:rPr>
      <w:sz w:val="20"/>
    </w:rPr>
  </w:style>
  <w:style w:type="paragraph" w:styleId="25">
    <w:name w:val="Balloon Text"/>
    <w:basedOn w:val="1"/>
    <w:link w:val="210"/>
    <w:qFormat/>
    <w:uiPriority w:val="0"/>
    <w:rPr>
      <w:sz w:val="18"/>
      <w:szCs w:val="18"/>
    </w:rPr>
  </w:style>
  <w:style w:type="paragraph" w:styleId="26">
    <w:name w:val="footer"/>
    <w:basedOn w:val="1"/>
    <w:link w:val="211"/>
    <w:qFormat/>
    <w:uiPriority w:val="99"/>
    <w:pPr>
      <w:tabs>
        <w:tab w:val="center" w:pos="4153"/>
        <w:tab w:val="right" w:pos="8306"/>
      </w:tabs>
      <w:jc w:val="left"/>
    </w:pPr>
    <w:rPr>
      <w:sz w:val="18"/>
      <w:szCs w:val="18"/>
    </w:rPr>
  </w:style>
  <w:style w:type="paragraph" w:styleId="27">
    <w:name w:val="envelope return"/>
    <w:basedOn w:val="1"/>
    <w:qFormat/>
    <w:uiPriority w:val="0"/>
    <w:rPr>
      <w:rFonts w:ascii="Arial" w:hAnsi="Arial"/>
    </w:rPr>
  </w:style>
  <w:style w:type="paragraph" w:styleId="28">
    <w:name w:val="header"/>
    <w:basedOn w:val="1"/>
    <w:link w:val="212"/>
    <w:qFormat/>
    <w:uiPriority w:val="99"/>
    <w:pPr>
      <w:pBdr>
        <w:bottom w:val="single" w:color="auto" w:sz="6" w:space="1"/>
      </w:pBdr>
      <w:tabs>
        <w:tab w:val="center" w:pos="4153"/>
        <w:tab w:val="right" w:pos="8306"/>
      </w:tabs>
      <w:jc w:val="center"/>
    </w:pPr>
    <w:rPr>
      <w:sz w:val="18"/>
      <w:szCs w:val="18"/>
    </w:rPr>
  </w:style>
  <w:style w:type="paragraph" w:styleId="29">
    <w:name w:val="toc 1"/>
    <w:basedOn w:val="1"/>
    <w:next w:val="1"/>
    <w:qFormat/>
    <w:uiPriority w:val="39"/>
  </w:style>
  <w:style w:type="paragraph" w:styleId="30">
    <w:name w:val="toc 4"/>
    <w:basedOn w:val="1"/>
    <w:next w:val="1"/>
    <w:unhideWhenUsed/>
    <w:qFormat/>
    <w:uiPriority w:val="39"/>
    <w:pPr>
      <w:spacing w:after="57"/>
      <w:ind w:left="850"/>
    </w:pPr>
  </w:style>
  <w:style w:type="paragraph" w:styleId="31">
    <w:name w:val="Subtitle"/>
    <w:basedOn w:val="1"/>
    <w:next w:val="1"/>
    <w:link w:val="65"/>
    <w:qFormat/>
    <w:uiPriority w:val="11"/>
    <w:pPr>
      <w:spacing w:before="200" w:after="200"/>
    </w:pPr>
    <w:rPr>
      <w:sz w:val="24"/>
    </w:rPr>
  </w:style>
  <w:style w:type="paragraph" w:styleId="32">
    <w:name w:val="footnote text"/>
    <w:basedOn w:val="2"/>
    <w:next w:val="18"/>
    <w:qFormat/>
    <w:uiPriority w:val="0"/>
    <w:pPr>
      <w:spacing w:line="360" w:lineRule="auto"/>
      <w:ind w:firstLine="3584"/>
    </w:pPr>
  </w:style>
  <w:style w:type="paragraph" w:styleId="33">
    <w:name w:val="toc 6"/>
    <w:basedOn w:val="1"/>
    <w:next w:val="1"/>
    <w:unhideWhenUsed/>
    <w:qFormat/>
    <w:uiPriority w:val="39"/>
    <w:pPr>
      <w:spacing w:after="57"/>
      <w:ind w:left="1417"/>
    </w:pPr>
  </w:style>
  <w:style w:type="paragraph" w:styleId="34">
    <w:name w:val="Body Text Indent 3"/>
    <w:basedOn w:val="1"/>
    <w:link w:val="213"/>
    <w:qFormat/>
    <w:uiPriority w:val="0"/>
    <w:pPr>
      <w:widowControl/>
      <w:spacing w:line="360" w:lineRule="auto"/>
      <w:ind w:firstLine="480"/>
    </w:pPr>
    <w:rPr>
      <w:sz w:val="24"/>
    </w:rPr>
  </w:style>
  <w:style w:type="paragraph" w:styleId="35">
    <w:name w:val="table of figures"/>
    <w:basedOn w:val="1"/>
    <w:next w:val="1"/>
    <w:unhideWhenUsed/>
    <w:qFormat/>
    <w:uiPriority w:val="99"/>
  </w:style>
  <w:style w:type="paragraph" w:styleId="36">
    <w:name w:val="toc 2"/>
    <w:basedOn w:val="1"/>
    <w:next w:val="1"/>
    <w:unhideWhenUsed/>
    <w:qFormat/>
    <w:uiPriority w:val="39"/>
    <w:pPr>
      <w:widowControl/>
      <w:spacing w:after="100" w:line="259" w:lineRule="auto"/>
      <w:ind w:left="220"/>
      <w:jc w:val="left"/>
    </w:pPr>
    <w:rPr>
      <w:rFonts w:ascii="等线" w:hAnsi="等线" w:eastAsia="等线"/>
      <w:sz w:val="22"/>
      <w:szCs w:val="22"/>
    </w:rPr>
  </w:style>
  <w:style w:type="paragraph" w:styleId="37">
    <w:name w:val="toc 9"/>
    <w:basedOn w:val="1"/>
    <w:next w:val="1"/>
    <w:unhideWhenUsed/>
    <w:qFormat/>
    <w:uiPriority w:val="39"/>
    <w:pPr>
      <w:spacing w:after="57"/>
      <w:ind w:left="2268"/>
    </w:pPr>
  </w:style>
  <w:style w:type="paragraph" w:styleId="38">
    <w:name w:val="Normal (Web)"/>
    <w:basedOn w:val="1"/>
    <w:next w:val="17"/>
    <w:qFormat/>
    <w:uiPriority w:val="0"/>
    <w:pPr>
      <w:widowControl/>
      <w:jc w:val="left"/>
    </w:pPr>
    <w:rPr>
      <w:sz w:val="24"/>
    </w:rPr>
  </w:style>
  <w:style w:type="paragraph" w:styleId="39">
    <w:name w:val="Title"/>
    <w:basedOn w:val="1"/>
    <w:next w:val="1"/>
    <w:link w:val="214"/>
    <w:qFormat/>
    <w:uiPriority w:val="0"/>
    <w:pPr>
      <w:tabs>
        <w:tab w:val="left" w:pos="315"/>
        <w:tab w:val="left" w:pos="720"/>
        <w:tab w:val="center" w:pos="4153"/>
      </w:tabs>
      <w:spacing w:line="360" w:lineRule="auto"/>
      <w:jc w:val="center"/>
    </w:pPr>
    <w:rPr>
      <w:rFonts w:ascii="宋体" w:hAnsi="宋体"/>
      <w:b/>
      <w:color w:val="000000"/>
      <w:sz w:val="32"/>
      <w:szCs w:val="32"/>
    </w:rPr>
  </w:style>
  <w:style w:type="paragraph" w:styleId="40">
    <w:name w:val="annotation subject"/>
    <w:basedOn w:val="14"/>
    <w:next w:val="14"/>
    <w:link w:val="215"/>
    <w:qFormat/>
    <w:uiPriority w:val="0"/>
    <w:rPr>
      <w:b/>
      <w:bCs/>
    </w:rPr>
  </w:style>
  <w:style w:type="paragraph" w:styleId="41">
    <w:name w:val="Body Text First Indent"/>
    <w:basedOn w:val="15"/>
    <w:qFormat/>
    <w:uiPriority w:val="0"/>
    <w:pPr>
      <w:ind w:firstLine="420"/>
    </w:pPr>
  </w:style>
  <w:style w:type="paragraph" w:styleId="42">
    <w:name w:val="Body Text First Indent 2"/>
    <w:unhideWhenUsed/>
    <w:qFormat/>
    <w:uiPriority w:val="99"/>
    <w:pPr>
      <w:widowControl w:val="0"/>
      <w:spacing w:after="120"/>
      <w:ind w:left="420" w:firstLine="420"/>
      <w:jc w:val="both"/>
    </w:pPr>
    <w:rPr>
      <w:rFonts w:ascii="Calibri" w:hAnsi="Calibri" w:eastAsia="宋体" w:cs="Times New Roman"/>
      <w:sz w:val="21"/>
      <w:lang w:val="en-US" w:eastAsia="zh-CN" w:bidi="ar-SA"/>
    </w:rPr>
  </w:style>
  <w:style w:type="table" w:styleId="44">
    <w:name w:val="Table Grid"/>
    <w:basedOn w:val="43"/>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6">
    <w:name w:val="endnote reference"/>
    <w:basedOn w:val="45"/>
    <w:semiHidden/>
    <w:unhideWhenUsed/>
    <w:qFormat/>
    <w:uiPriority w:val="99"/>
    <w:rPr>
      <w:vertAlign w:val="superscript"/>
    </w:rPr>
  </w:style>
  <w:style w:type="character" w:styleId="47">
    <w:name w:val="page number"/>
    <w:qFormat/>
    <w:uiPriority w:val="0"/>
    <w:rPr>
      <w:rFonts w:ascii="Times New Roman" w:hAnsi="Times New Roman" w:eastAsia="宋体" w:cs="Times New Roman"/>
    </w:rPr>
  </w:style>
  <w:style w:type="character" w:styleId="48">
    <w:name w:val="FollowedHyperlink"/>
    <w:qFormat/>
    <w:uiPriority w:val="0"/>
    <w:rPr>
      <w:color w:val="333333"/>
      <w:u w:val="none"/>
    </w:rPr>
  </w:style>
  <w:style w:type="character" w:styleId="49">
    <w:name w:val="Emphasis"/>
    <w:qFormat/>
    <w:uiPriority w:val="0"/>
  </w:style>
  <w:style w:type="character" w:styleId="50">
    <w:name w:val="Hyperlink"/>
    <w:unhideWhenUsed/>
    <w:qFormat/>
    <w:uiPriority w:val="99"/>
    <w:rPr>
      <w:color w:val="0563C1"/>
      <w:u w:val="single"/>
    </w:rPr>
  </w:style>
  <w:style w:type="character" w:styleId="51">
    <w:name w:val="annotation reference"/>
    <w:qFormat/>
    <w:uiPriority w:val="0"/>
    <w:rPr>
      <w:sz w:val="21"/>
      <w:szCs w:val="21"/>
    </w:rPr>
  </w:style>
  <w:style w:type="character" w:styleId="52">
    <w:name w:val="footnote reference"/>
    <w:unhideWhenUsed/>
    <w:qFormat/>
    <w:uiPriority w:val="0"/>
    <w:rPr>
      <w:vertAlign w:val="superscript"/>
    </w:rPr>
  </w:style>
  <w:style w:type="paragraph" w:customStyle="1" w:styleId="53">
    <w:name w:val="段"/>
    <w:next w:val="1"/>
    <w:qFormat/>
    <w:uiPriority w:val="0"/>
    <w:pPr>
      <w:ind w:firstLine="200"/>
      <w:jc w:val="both"/>
    </w:pPr>
    <w:rPr>
      <w:rFonts w:ascii="宋体" w:hAnsi="Times New Roman" w:eastAsia="宋体" w:cs="Times New Roman"/>
      <w:sz w:val="21"/>
      <w:lang w:val="en-US" w:eastAsia="zh-CN" w:bidi="ar-SA"/>
    </w:rPr>
  </w:style>
  <w:style w:type="character" w:customStyle="1" w:styleId="54">
    <w:name w:val="Heading 1 Char"/>
    <w:basedOn w:val="45"/>
    <w:qFormat/>
    <w:uiPriority w:val="9"/>
    <w:rPr>
      <w:rFonts w:ascii="Arial" w:hAnsi="Arial" w:eastAsia="Arial" w:cs="Arial"/>
      <w:sz w:val="40"/>
      <w:szCs w:val="40"/>
    </w:rPr>
  </w:style>
  <w:style w:type="character" w:customStyle="1" w:styleId="55">
    <w:name w:val="Heading 2 Char"/>
    <w:basedOn w:val="45"/>
    <w:qFormat/>
    <w:uiPriority w:val="9"/>
    <w:rPr>
      <w:rFonts w:ascii="Arial" w:hAnsi="Arial" w:eastAsia="Arial" w:cs="Arial"/>
      <w:sz w:val="34"/>
    </w:rPr>
  </w:style>
  <w:style w:type="character" w:customStyle="1" w:styleId="56">
    <w:name w:val="Heading 3 Char"/>
    <w:basedOn w:val="45"/>
    <w:qFormat/>
    <w:uiPriority w:val="9"/>
    <w:rPr>
      <w:rFonts w:ascii="Arial" w:hAnsi="Arial" w:eastAsia="Arial" w:cs="Arial"/>
      <w:sz w:val="30"/>
      <w:szCs w:val="30"/>
    </w:rPr>
  </w:style>
  <w:style w:type="character" w:customStyle="1" w:styleId="57">
    <w:name w:val="Heading 4 Char"/>
    <w:basedOn w:val="45"/>
    <w:qFormat/>
    <w:uiPriority w:val="9"/>
    <w:rPr>
      <w:rFonts w:ascii="Arial" w:hAnsi="Arial" w:eastAsia="Arial" w:cs="Arial"/>
      <w:b/>
      <w:bCs/>
      <w:sz w:val="26"/>
      <w:szCs w:val="26"/>
    </w:rPr>
  </w:style>
  <w:style w:type="character" w:customStyle="1" w:styleId="58">
    <w:name w:val="标题 5 字符"/>
    <w:basedOn w:val="45"/>
    <w:link w:val="6"/>
    <w:qFormat/>
    <w:uiPriority w:val="9"/>
    <w:rPr>
      <w:rFonts w:ascii="Arial" w:hAnsi="Arial" w:eastAsia="Arial" w:cs="Arial"/>
      <w:b/>
      <w:bCs/>
      <w:sz w:val="24"/>
      <w:szCs w:val="24"/>
    </w:rPr>
  </w:style>
  <w:style w:type="character" w:customStyle="1" w:styleId="59">
    <w:name w:val="标题 6 字符"/>
    <w:basedOn w:val="45"/>
    <w:link w:val="7"/>
    <w:qFormat/>
    <w:uiPriority w:val="9"/>
    <w:rPr>
      <w:rFonts w:ascii="Arial" w:hAnsi="Arial" w:eastAsia="Arial" w:cs="Arial"/>
      <w:b/>
      <w:bCs/>
      <w:sz w:val="22"/>
      <w:szCs w:val="22"/>
    </w:rPr>
  </w:style>
  <w:style w:type="character" w:customStyle="1" w:styleId="60">
    <w:name w:val="标题 7 字符"/>
    <w:basedOn w:val="45"/>
    <w:link w:val="8"/>
    <w:qFormat/>
    <w:uiPriority w:val="9"/>
    <w:rPr>
      <w:rFonts w:ascii="Arial" w:hAnsi="Arial" w:eastAsia="Arial" w:cs="Arial"/>
      <w:b/>
      <w:bCs/>
      <w:i/>
      <w:iCs/>
      <w:sz w:val="22"/>
      <w:szCs w:val="22"/>
    </w:rPr>
  </w:style>
  <w:style w:type="character" w:customStyle="1" w:styleId="61">
    <w:name w:val="标题 8 字符"/>
    <w:basedOn w:val="45"/>
    <w:link w:val="9"/>
    <w:qFormat/>
    <w:uiPriority w:val="9"/>
    <w:rPr>
      <w:rFonts w:ascii="Arial" w:hAnsi="Arial" w:eastAsia="Arial" w:cs="Arial"/>
      <w:i/>
      <w:iCs/>
      <w:sz w:val="22"/>
      <w:szCs w:val="22"/>
    </w:rPr>
  </w:style>
  <w:style w:type="character" w:customStyle="1" w:styleId="62">
    <w:name w:val="标题 9 字符"/>
    <w:basedOn w:val="45"/>
    <w:link w:val="10"/>
    <w:qFormat/>
    <w:uiPriority w:val="9"/>
    <w:rPr>
      <w:rFonts w:ascii="Arial" w:hAnsi="Arial" w:eastAsia="Arial" w:cs="Arial"/>
      <w:i/>
      <w:iCs/>
      <w:sz w:val="21"/>
      <w:szCs w:val="21"/>
    </w:rPr>
  </w:style>
  <w:style w:type="paragraph" w:styleId="63">
    <w:name w:val="No Spacing"/>
    <w:qFormat/>
    <w:uiPriority w:val="1"/>
    <w:rPr>
      <w:rFonts w:ascii="Times New Roman" w:hAnsi="Times New Roman" w:eastAsia="宋体" w:cs="Times New Roman"/>
      <w:lang w:val="en-US" w:eastAsia="zh-CN" w:bidi="ar-SA"/>
    </w:rPr>
  </w:style>
  <w:style w:type="character" w:customStyle="1" w:styleId="64">
    <w:name w:val="Title Char"/>
    <w:basedOn w:val="45"/>
    <w:qFormat/>
    <w:uiPriority w:val="10"/>
    <w:rPr>
      <w:sz w:val="48"/>
      <w:szCs w:val="48"/>
    </w:rPr>
  </w:style>
  <w:style w:type="character" w:customStyle="1" w:styleId="65">
    <w:name w:val="副标题 字符"/>
    <w:basedOn w:val="45"/>
    <w:link w:val="31"/>
    <w:qFormat/>
    <w:uiPriority w:val="11"/>
    <w:rPr>
      <w:sz w:val="24"/>
      <w:szCs w:val="24"/>
    </w:rPr>
  </w:style>
  <w:style w:type="paragraph" w:styleId="66">
    <w:name w:val="Quote"/>
    <w:basedOn w:val="1"/>
    <w:next w:val="1"/>
    <w:link w:val="67"/>
    <w:qFormat/>
    <w:uiPriority w:val="29"/>
    <w:pPr>
      <w:ind w:left="720" w:right="720"/>
    </w:pPr>
    <w:rPr>
      <w:i/>
    </w:rPr>
  </w:style>
  <w:style w:type="character" w:customStyle="1" w:styleId="67">
    <w:name w:val="引用 字符"/>
    <w:link w:val="66"/>
    <w:qFormat/>
    <w:uiPriority w:val="29"/>
    <w:rPr>
      <w:i/>
    </w:rPr>
  </w:style>
  <w:style w:type="paragraph" w:styleId="68">
    <w:name w:val="Intense Quote"/>
    <w:basedOn w:val="1"/>
    <w:next w:val="1"/>
    <w:link w:val="6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9">
    <w:name w:val="明显引用 字符"/>
    <w:link w:val="68"/>
    <w:qFormat/>
    <w:uiPriority w:val="30"/>
    <w:rPr>
      <w:i/>
    </w:rPr>
  </w:style>
  <w:style w:type="character" w:customStyle="1" w:styleId="70">
    <w:name w:val="Header Char"/>
    <w:basedOn w:val="45"/>
    <w:qFormat/>
    <w:uiPriority w:val="99"/>
  </w:style>
  <w:style w:type="character" w:customStyle="1" w:styleId="71">
    <w:name w:val="Footer Char"/>
    <w:basedOn w:val="45"/>
    <w:qFormat/>
    <w:uiPriority w:val="99"/>
  </w:style>
  <w:style w:type="character" w:customStyle="1" w:styleId="72">
    <w:name w:val="Caption Char"/>
    <w:qFormat/>
    <w:uiPriority w:val="99"/>
  </w:style>
  <w:style w:type="table" w:customStyle="1" w:styleId="73">
    <w:name w:val="Table Grid Light"/>
    <w:basedOn w:val="4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74">
    <w:name w:val="无格式表格 11"/>
    <w:basedOn w:val="4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5">
    <w:name w:val="无格式表格 21"/>
    <w:basedOn w:val="43"/>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6">
    <w:name w:val="无格式表格 31"/>
    <w:basedOn w:val="43"/>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无格式表格 41"/>
    <w:basedOn w:val="43"/>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无格式表格 51"/>
    <w:basedOn w:val="43"/>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网格表 1 浅色1"/>
    <w:basedOn w:val="43"/>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0">
    <w:name w:val="Grid Table 1 Light - Accent 1"/>
    <w:basedOn w:val="43"/>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1">
    <w:name w:val="Grid Table 1 Light - Accent 2"/>
    <w:basedOn w:val="43"/>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2">
    <w:name w:val="Grid Table 1 Light - Accent 3"/>
    <w:basedOn w:val="4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3">
    <w:name w:val="Grid Table 1 Light - Accent 4"/>
    <w:basedOn w:val="43"/>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4">
    <w:name w:val="Grid Table 1 Light - Accent 5"/>
    <w:basedOn w:val="43"/>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5">
    <w:name w:val="Grid Table 1 Light - Accent 6"/>
    <w:basedOn w:val="43"/>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6">
    <w:name w:val="网格表 21"/>
    <w:basedOn w:val="4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2 - Accent 1"/>
    <w:basedOn w:val="43"/>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8">
    <w:name w:val="Grid Table 2 - Accent 2"/>
    <w:basedOn w:val="43"/>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2 - Accent 3"/>
    <w:basedOn w:val="4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2 - Accent 4"/>
    <w:basedOn w:val="43"/>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2 - Accent 5"/>
    <w:basedOn w:val="43"/>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2 - Accent 6"/>
    <w:basedOn w:val="43"/>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网格表 31"/>
    <w:basedOn w:val="4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3 - Accent 1"/>
    <w:basedOn w:val="43"/>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5">
    <w:name w:val="Grid Table 3 - Accent 2"/>
    <w:basedOn w:val="43"/>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3 - Accent 3"/>
    <w:basedOn w:val="4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3 - Accent 4"/>
    <w:basedOn w:val="43"/>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3 - Accent 5"/>
    <w:basedOn w:val="43"/>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3 - Accent 6"/>
    <w:basedOn w:val="43"/>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网格表 41"/>
    <w:basedOn w:val="43"/>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1">
    <w:name w:val="Grid Table 4 - Accent 1"/>
    <w:basedOn w:val="43"/>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2">
    <w:name w:val="Grid Table 4 - Accent 2"/>
    <w:basedOn w:val="43"/>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3">
    <w:name w:val="Grid Table 4 - Accent 3"/>
    <w:basedOn w:val="4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4">
    <w:name w:val="Grid Table 4 - Accent 4"/>
    <w:basedOn w:val="43"/>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5">
    <w:name w:val="Grid Table 4 - Accent 5"/>
    <w:basedOn w:val="43"/>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6">
    <w:name w:val="Grid Table 4 - Accent 6"/>
    <w:basedOn w:val="43"/>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7">
    <w:name w:val="网格表 5 深色1"/>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8">
    <w:name w:val="Grid Table 5 Dark- Accent 1"/>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9">
    <w:name w:val="Grid Table 5 Dark - Accent 2"/>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0">
    <w:name w:val="Grid Table 5 Dark - Accent 3"/>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1">
    <w:name w:val="Grid Table 5 Dark- Accent 4"/>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2">
    <w:name w:val="Grid Table 5 Dark - Accent 5"/>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3">
    <w:name w:val="Grid Table 5 Dark - Accent 6"/>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4">
    <w:name w:val="网格表 6 彩色1"/>
    <w:basedOn w:val="43"/>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6 Colorful - Accent 1"/>
    <w:basedOn w:val="43"/>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6">
    <w:name w:val="Grid Table 6 Colorful - Accent 2"/>
    <w:basedOn w:val="43"/>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7">
    <w:name w:val="Grid Table 6 Colorful - Accent 3"/>
    <w:basedOn w:val="4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8">
    <w:name w:val="Grid Table 6 Colorful - Accent 4"/>
    <w:basedOn w:val="43"/>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9">
    <w:name w:val="Grid Table 6 Colorful - Accent 5"/>
    <w:basedOn w:val="43"/>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0">
    <w:name w:val="Grid Table 6 Colorful - Accent 6"/>
    <w:basedOn w:val="43"/>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1">
    <w:name w:val="网格表 7 彩色1"/>
    <w:basedOn w:val="43"/>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2">
    <w:name w:val="Grid Table 7 Colorful - Accent 1"/>
    <w:basedOn w:val="43"/>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3">
    <w:name w:val="Grid Table 7 Colorful - Accent 2"/>
    <w:basedOn w:val="43"/>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4">
    <w:name w:val="Grid Table 7 Colorful - Accent 3"/>
    <w:basedOn w:val="4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5">
    <w:name w:val="Grid Table 7 Colorful - Accent 4"/>
    <w:basedOn w:val="43"/>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6">
    <w:name w:val="Grid Table 7 Colorful - Accent 5"/>
    <w:basedOn w:val="43"/>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7">
    <w:name w:val="Grid Table 7 Colorful - Accent 6"/>
    <w:basedOn w:val="43"/>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8">
    <w:name w:val="清单表 1 浅色1"/>
    <w:basedOn w:val="43"/>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9">
    <w:name w:val="List Table 1 Light - Accent 1"/>
    <w:basedOn w:val="43"/>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0">
    <w:name w:val="List Table 1 Light - Accent 2"/>
    <w:basedOn w:val="43"/>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1">
    <w:name w:val="List Table 1 Light - Accent 3"/>
    <w:basedOn w:val="43"/>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2">
    <w:name w:val="List Table 1 Light - Accent 4"/>
    <w:basedOn w:val="43"/>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3">
    <w:name w:val="List Table 1 Light - Accent 5"/>
    <w:basedOn w:val="43"/>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4">
    <w:name w:val="List Table 1 Light - Accent 6"/>
    <w:basedOn w:val="43"/>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5">
    <w:name w:val="清单表 21"/>
    <w:basedOn w:val="43"/>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2 - Accent 1"/>
    <w:basedOn w:val="43"/>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7">
    <w:name w:val="List Table 2 - Accent 2"/>
    <w:basedOn w:val="43"/>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8">
    <w:name w:val="List Table 2 - Accent 3"/>
    <w:basedOn w:val="4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9">
    <w:name w:val="List Table 2 - Accent 4"/>
    <w:basedOn w:val="43"/>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0">
    <w:name w:val="List Table 2 - Accent 5"/>
    <w:basedOn w:val="43"/>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1">
    <w:name w:val="List Table 2 - Accent 6"/>
    <w:basedOn w:val="43"/>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2">
    <w:name w:val="清单表 31"/>
    <w:basedOn w:val="4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3">
    <w:name w:val="List Table 3 - Accent 1"/>
    <w:basedOn w:val="43"/>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4">
    <w:name w:val="List Table 3 - Accent 2"/>
    <w:basedOn w:val="43"/>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5">
    <w:name w:val="List Table 3 - Accent 3"/>
    <w:basedOn w:val="4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6">
    <w:name w:val="List Table 3 - Accent 4"/>
    <w:basedOn w:val="43"/>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7">
    <w:name w:val="List Table 3 - Accent 5"/>
    <w:basedOn w:val="43"/>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8">
    <w:name w:val="List Table 3 - Accent 6"/>
    <w:basedOn w:val="43"/>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9">
    <w:name w:val="清单表 41"/>
    <w:basedOn w:val="4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0">
    <w:name w:val="List Table 4 - Accent 1"/>
    <w:basedOn w:val="43"/>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1">
    <w:name w:val="List Table 4 - Accent 2"/>
    <w:basedOn w:val="43"/>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2">
    <w:name w:val="List Table 4 - Accent 3"/>
    <w:basedOn w:val="4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3">
    <w:name w:val="List Table 4 - Accent 4"/>
    <w:basedOn w:val="43"/>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4">
    <w:name w:val="List Table 4 - Accent 5"/>
    <w:basedOn w:val="43"/>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5">
    <w:name w:val="List Table 4 - Accent 6"/>
    <w:basedOn w:val="43"/>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6">
    <w:name w:val="清单表 5 深色1"/>
    <w:basedOn w:val="43"/>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7">
    <w:name w:val="List Table 5 Dark - Accent 1"/>
    <w:basedOn w:val="43"/>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8">
    <w:name w:val="List Table 5 Dark - Accent 2"/>
    <w:basedOn w:val="43"/>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9">
    <w:name w:val="List Table 5 Dark - Accent 3"/>
    <w:basedOn w:val="4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0">
    <w:name w:val="List Table 5 Dark - Accent 4"/>
    <w:basedOn w:val="43"/>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1">
    <w:name w:val="List Table 5 Dark - Accent 5"/>
    <w:basedOn w:val="43"/>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2">
    <w:name w:val="List Table 5 Dark - Accent 6"/>
    <w:basedOn w:val="43"/>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3">
    <w:name w:val="清单表 6 彩色1"/>
    <w:basedOn w:val="43"/>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4">
    <w:name w:val="List Table 6 Colorful - Accent 1"/>
    <w:basedOn w:val="43"/>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5">
    <w:name w:val="List Table 6 Colorful - Accent 2"/>
    <w:basedOn w:val="43"/>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6">
    <w:name w:val="List Table 6 Colorful - Accent 3"/>
    <w:basedOn w:val="43"/>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7">
    <w:name w:val="List Table 6 Colorful - Accent 4"/>
    <w:basedOn w:val="43"/>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8">
    <w:name w:val="List Table 6 Colorful - Accent 5"/>
    <w:basedOn w:val="43"/>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9">
    <w:name w:val="List Table 6 Colorful - Accent 6"/>
    <w:basedOn w:val="43"/>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0">
    <w:name w:val="清单表 7 彩色1"/>
    <w:basedOn w:val="43"/>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1">
    <w:name w:val="List Table 7 Colorful - Accent 1"/>
    <w:basedOn w:val="43"/>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2">
    <w:name w:val="List Table 7 Colorful - Accent 2"/>
    <w:basedOn w:val="43"/>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3">
    <w:name w:val="List Table 7 Colorful - Accent 3"/>
    <w:basedOn w:val="43"/>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4">
    <w:name w:val="List Table 7 Colorful - Accent 4"/>
    <w:basedOn w:val="43"/>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5">
    <w:name w:val="List Table 7 Colorful - Accent 5"/>
    <w:basedOn w:val="43"/>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6">
    <w:name w:val="List Table 7 Colorful - Accent 6"/>
    <w:basedOn w:val="43"/>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7">
    <w:name w:val="Lined - Accent"/>
    <w:basedOn w:val="43"/>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Lined - Accent 1"/>
    <w:basedOn w:val="43"/>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9">
    <w:name w:val="Lined - Accent 2"/>
    <w:basedOn w:val="43"/>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0">
    <w:name w:val="Lined - Accent 3"/>
    <w:basedOn w:val="43"/>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1">
    <w:name w:val="Lined - Accent 4"/>
    <w:basedOn w:val="43"/>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2">
    <w:name w:val="Lined - Accent 5"/>
    <w:basedOn w:val="43"/>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3">
    <w:name w:val="Lined - Accent 6"/>
    <w:basedOn w:val="43"/>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4">
    <w:name w:val="Bordered &amp; Lined - Accent"/>
    <w:basedOn w:val="43"/>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5">
    <w:name w:val="Bordered &amp; Lined - Accent 1"/>
    <w:basedOn w:val="43"/>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6">
    <w:name w:val="Bordered &amp; Lined - Accent 2"/>
    <w:basedOn w:val="43"/>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7">
    <w:name w:val="Bordered &amp; Lined - Accent 3"/>
    <w:basedOn w:val="4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8">
    <w:name w:val="Bordered &amp; Lined - Accent 4"/>
    <w:basedOn w:val="43"/>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9">
    <w:name w:val="Bordered &amp; Lined - Accent 5"/>
    <w:basedOn w:val="43"/>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0">
    <w:name w:val="Bordered &amp; Lined - Accent 6"/>
    <w:basedOn w:val="43"/>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1">
    <w:name w:val="Bordered"/>
    <w:basedOn w:val="43"/>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2">
    <w:name w:val="Bordered - Accent 1"/>
    <w:basedOn w:val="43"/>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3">
    <w:name w:val="Bordered - Accent 2"/>
    <w:basedOn w:val="43"/>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4">
    <w:name w:val="Bordered - Accent 3"/>
    <w:basedOn w:val="4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5">
    <w:name w:val="Bordered - Accent 4"/>
    <w:basedOn w:val="43"/>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6">
    <w:name w:val="Bordered - Accent 5"/>
    <w:basedOn w:val="43"/>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7">
    <w:name w:val="Bordered - Accent 6"/>
    <w:basedOn w:val="43"/>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8">
    <w:name w:val="Footnote Text Char"/>
    <w:qFormat/>
    <w:uiPriority w:val="99"/>
    <w:rPr>
      <w:sz w:val="18"/>
    </w:rPr>
  </w:style>
  <w:style w:type="character" w:customStyle="1" w:styleId="199">
    <w:name w:val="尾注文本 字符"/>
    <w:link w:val="24"/>
    <w:qFormat/>
    <w:uiPriority w:val="99"/>
    <w:rPr>
      <w:sz w:val="20"/>
    </w:rPr>
  </w:style>
  <w:style w:type="paragraph" w:customStyle="1" w:styleId="200">
    <w:name w:val="TOC 标题1"/>
    <w:unhideWhenUsed/>
    <w:qFormat/>
    <w:uiPriority w:val="39"/>
    <w:rPr>
      <w:rFonts w:ascii="Times New Roman" w:hAnsi="Times New Roman" w:eastAsia="宋体" w:cs="Times New Roman"/>
      <w:lang w:val="en-US" w:eastAsia="zh-CN" w:bidi="ar-SA"/>
    </w:rPr>
  </w:style>
  <w:style w:type="paragraph" w:customStyle="1" w:styleId="201">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202">
    <w:name w:val="首行缩进"/>
    <w:basedOn w:val="1"/>
    <w:qFormat/>
    <w:uiPriority w:val="0"/>
    <w:pPr>
      <w:widowControl/>
      <w:ind w:firstLine="480"/>
      <w:jc w:val="left"/>
    </w:pPr>
    <w:rPr>
      <w:sz w:val="24"/>
      <w:szCs w:val="20"/>
      <w:lang w:val="zh-CN"/>
    </w:rPr>
  </w:style>
  <w:style w:type="character" w:customStyle="1" w:styleId="203">
    <w:name w:val="标题 2 字符"/>
    <w:link w:val="3"/>
    <w:qFormat/>
    <w:uiPriority w:val="0"/>
    <w:rPr>
      <w:rFonts w:ascii="Arial" w:hAnsi="Arial" w:eastAsia="黑体" w:cs="Arial"/>
      <w:b/>
      <w:bCs/>
      <w:sz w:val="32"/>
      <w:szCs w:val="32"/>
    </w:rPr>
  </w:style>
  <w:style w:type="character" w:customStyle="1" w:styleId="204">
    <w:name w:val="标题 3 字符"/>
    <w:link w:val="4"/>
    <w:semiHidden/>
    <w:qFormat/>
    <w:uiPriority w:val="0"/>
    <w:rPr>
      <w:b/>
      <w:bCs/>
      <w:sz w:val="32"/>
      <w:szCs w:val="32"/>
    </w:rPr>
  </w:style>
  <w:style w:type="character" w:customStyle="1" w:styleId="205">
    <w:name w:val="正文缩进 字符"/>
    <w:link w:val="12"/>
    <w:qFormat/>
    <w:uiPriority w:val="0"/>
    <w:rPr>
      <w:rFonts w:eastAsia="楷体_GB2312"/>
      <w:sz w:val="24"/>
      <w:lang w:bidi="ar-SA"/>
    </w:rPr>
  </w:style>
  <w:style w:type="character" w:customStyle="1" w:styleId="206">
    <w:name w:val="批注文字 字符"/>
    <w:link w:val="14"/>
    <w:qFormat/>
    <w:uiPriority w:val="0"/>
    <w:rPr>
      <w:sz w:val="21"/>
      <w:szCs w:val="24"/>
    </w:rPr>
  </w:style>
  <w:style w:type="character" w:customStyle="1" w:styleId="207">
    <w:name w:val="正文文本 字符"/>
    <w:link w:val="15"/>
    <w:qFormat/>
    <w:uiPriority w:val="0"/>
    <w:rPr>
      <w:sz w:val="28"/>
      <w:szCs w:val="24"/>
    </w:rPr>
  </w:style>
  <w:style w:type="character" w:customStyle="1" w:styleId="208">
    <w:name w:val="纯文本 字符"/>
    <w:link w:val="21"/>
    <w:qFormat/>
    <w:uiPriority w:val="99"/>
    <w:rPr>
      <w:rFonts w:ascii="宋体" w:hAnsi="Courier New"/>
      <w:sz w:val="21"/>
    </w:rPr>
  </w:style>
  <w:style w:type="character" w:customStyle="1" w:styleId="209">
    <w:name w:val="日期 字符"/>
    <w:link w:val="23"/>
    <w:qFormat/>
    <w:uiPriority w:val="99"/>
    <w:rPr>
      <w:rFonts w:ascii="宋体" w:hAnsi="宋体"/>
      <w:sz w:val="24"/>
      <w:szCs w:val="24"/>
    </w:rPr>
  </w:style>
  <w:style w:type="character" w:customStyle="1" w:styleId="210">
    <w:name w:val="批注框文本 字符"/>
    <w:basedOn w:val="45"/>
    <w:link w:val="25"/>
    <w:qFormat/>
    <w:uiPriority w:val="0"/>
    <w:rPr>
      <w:sz w:val="18"/>
      <w:szCs w:val="18"/>
    </w:rPr>
  </w:style>
  <w:style w:type="character" w:customStyle="1" w:styleId="211">
    <w:name w:val="页脚 字符"/>
    <w:link w:val="26"/>
    <w:qFormat/>
    <w:uiPriority w:val="99"/>
    <w:rPr>
      <w:sz w:val="18"/>
      <w:szCs w:val="18"/>
    </w:rPr>
  </w:style>
  <w:style w:type="character" w:customStyle="1" w:styleId="212">
    <w:name w:val="页眉 字符"/>
    <w:link w:val="28"/>
    <w:qFormat/>
    <w:uiPriority w:val="99"/>
    <w:rPr>
      <w:sz w:val="18"/>
      <w:szCs w:val="18"/>
    </w:rPr>
  </w:style>
  <w:style w:type="character" w:customStyle="1" w:styleId="213">
    <w:name w:val="正文文本缩进 3 字符"/>
    <w:basedOn w:val="45"/>
    <w:link w:val="34"/>
    <w:qFormat/>
    <w:uiPriority w:val="0"/>
    <w:rPr>
      <w:sz w:val="24"/>
      <w:szCs w:val="24"/>
    </w:rPr>
  </w:style>
  <w:style w:type="character" w:customStyle="1" w:styleId="214">
    <w:name w:val="标题 字符"/>
    <w:link w:val="39"/>
    <w:qFormat/>
    <w:uiPriority w:val="0"/>
    <w:rPr>
      <w:rFonts w:ascii="宋体" w:hAnsi="宋体"/>
      <w:b/>
      <w:color w:val="000000"/>
      <w:sz w:val="32"/>
      <w:szCs w:val="32"/>
    </w:rPr>
  </w:style>
  <w:style w:type="character" w:customStyle="1" w:styleId="215">
    <w:name w:val="批注主题 字符"/>
    <w:link w:val="40"/>
    <w:qFormat/>
    <w:uiPriority w:val="0"/>
    <w:rPr>
      <w:b/>
      <w:bCs/>
      <w:sz w:val="21"/>
      <w:szCs w:val="24"/>
    </w:rPr>
  </w:style>
  <w:style w:type="character" w:customStyle="1" w:styleId="216">
    <w:name w:val="Char Char4"/>
    <w:qFormat/>
    <w:uiPriority w:val="0"/>
    <w:rPr>
      <w:sz w:val="18"/>
      <w:szCs w:val="18"/>
      <w:lang w:bidi="ar-SA"/>
    </w:rPr>
  </w:style>
  <w:style w:type="character" w:customStyle="1" w:styleId="217">
    <w:name w:val="标题 Char1"/>
    <w:qFormat/>
    <w:uiPriority w:val="0"/>
    <w:rPr>
      <w:rFonts w:ascii="Cambria" w:hAnsi="Cambria" w:cs="Times New Roman"/>
      <w:b/>
      <w:bCs/>
      <w:sz w:val="32"/>
      <w:szCs w:val="32"/>
    </w:rPr>
  </w:style>
  <w:style w:type="character" w:customStyle="1" w:styleId="218">
    <w:name w:val="font01"/>
    <w:qFormat/>
    <w:uiPriority w:val="0"/>
    <w:rPr>
      <w:rFonts w:hint="default" w:ascii="Times New Roman" w:hAnsi="Times New Roman" w:eastAsia="宋体" w:cs="Times New Roman"/>
      <w:color w:val="000000"/>
      <w:sz w:val="24"/>
      <w:szCs w:val="24"/>
      <w:u w:val="none"/>
    </w:rPr>
  </w:style>
  <w:style w:type="character" w:customStyle="1" w:styleId="219">
    <w:name w:val="Header or footer|1_"/>
    <w:basedOn w:val="45"/>
    <w:link w:val="220"/>
    <w:qFormat/>
    <w:uiPriority w:val="0"/>
    <w:rPr>
      <w:sz w:val="17"/>
      <w:szCs w:val="17"/>
    </w:rPr>
  </w:style>
  <w:style w:type="paragraph" w:customStyle="1" w:styleId="220">
    <w:name w:val="Header or footer|1"/>
    <w:basedOn w:val="1"/>
    <w:link w:val="219"/>
    <w:qFormat/>
    <w:uiPriority w:val="0"/>
    <w:pPr>
      <w:jc w:val="left"/>
    </w:pPr>
    <w:rPr>
      <w:sz w:val="17"/>
      <w:szCs w:val="17"/>
    </w:rPr>
  </w:style>
  <w:style w:type="character" w:customStyle="1" w:styleId="221">
    <w:name w:val="Heading #4|1_"/>
    <w:basedOn w:val="45"/>
    <w:link w:val="222"/>
    <w:qFormat/>
    <w:uiPriority w:val="0"/>
    <w:rPr>
      <w:rFonts w:ascii="宋体" w:hAnsi="宋体" w:eastAsia="宋体" w:cs="宋体"/>
      <w:b/>
      <w:bCs/>
      <w:sz w:val="22"/>
      <w:szCs w:val="22"/>
      <w:lang w:val="zh-TW" w:eastAsia="zh-TW" w:bidi="zh-TW"/>
    </w:rPr>
  </w:style>
  <w:style w:type="paragraph" w:customStyle="1" w:styleId="222">
    <w:name w:val="Heading #4|1"/>
    <w:basedOn w:val="1"/>
    <w:link w:val="221"/>
    <w:qFormat/>
    <w:uiPriority w:val="0"/>
    <w:pPr>
      <w:spacing w:line="469" w:lineRule="exact"/>
      <w:ind w:firstLine="340"/>
      <w:jc w:val="left"/>
      <w:outlineLvl w:val="3"/>
    </w:pPr>
    <w:rPr>
      <w:rFonts w:ascii="宋体" w:hAnsi="宋体" w:cs="宋体"/>
      <w:b/>
      <w:bCs/>
      <w:sz w:val="22"/>
      <w:szCs w:val="22"/>
      <w:lang w:val="zh-TW" w:eastAsia="zh-TW" w:bidi="zh-TW"/>
    </w:rPr>
  </w:style>
  <w:style w:type="character" w:customStyle="1" w:styleId="223">
    <w:name w:val="font31"/>
    <w:qFormat/>
    <w:uiPriority w:val="0"/>
    <w:rPr>
      <w:rFonts w:hint="eastAsia" w:ascii="宋体" w:hAnsi="宋体" w:eastAsia="宋体" w:cs="宋体"/>
      <w:color w:val="FF0000"/>
      <w:sz w:val="24"/>
      <w:szCs w:val="24"/>
      <w:u w:val="none"/>
    </w:rPr>
  </w:style>
  <w:style w:type="character" w:customStyle="1" w:styleId="224">
    <w:name w:val="Other|1_"/>
    <w:basedOn w:val="45"/>
    <w:link w:val="225"/>
    <w:qFormat/>
    <w:uiPriority w:val="0"/>
    <w:rPr>
      <w:rFonts w:ascii="宋体" w:hAnsi="宋体" w:eastAsia="宋体" w:cs="宋体"/>
      <w:sz w:val="22"/>
      <w:szCs w:val="22"/>
      <w:lang w:val="zh-TW" w:eastAsia="zh-TW" w:bidi="zh-TW"/>
    </w:rPr>
  </w:style>
  <w:style w:type="paragraph" w:customStyle="1" w:styleId="225">
    <w:name w:val="Other|1"/>
    <w:basedOn w:val="1"/>
    <w:link w:val="224"/>
    <w:qFormat/>
    <w:uiPriority w:val="0"/>
    <w:pPr>
      <w:spacing w:line="309" w:lineRule="exact"/>
      <w:jc w:val="left"/>
    </w:pPr>
    <w:rPr>
      <w:rFonts w:ascii="宋体" w:hAnsi="宋体" w:cs="宋体"/>
      <w:sz w:val="22"/>
      <w:szCs w:val="22"/>
      <w:lang w:val="zh-TW" w:eastAsia="zh-TW" w:bidi="zh-TW"/>
    </w:rPr>
  </w:style>
  <w:style w:type="character" w:customStyle="1" w:styleId="226">
    <w:name w:val="列出段落 Char"/>
    <w:link w:val="227"/>
    <w:qFormat/>
    <w:uiPriority w:val="0"/>
    <w:rPr>
      <w:rFonts w:ascii="Calibri" w:hAnsi="Calibri" w:eastAsia="宋体"/>
      <w:sz w:val="22"/>
      <w:lang w:bidi="ar-SA"/>
    </w:rPr>
  </w:style>
  <w:style w:type="paragraph" w:customStyle="1" w:styleId="227">
    <w:name w:val="列出段落1"/>
    <w:basedOn w:val="1"/>
    <w:link w:val="226"/>
    <w:qFormat/>
    <w:uiPriority w:val="0"/>
    <w:pPr>
      <w:spacing w:line="360" w:lineRule="auto"/>
      <w:ind w:firstLine="200"/>
    </w:pPr>
    <w:rPr>
      <w:rFonts w:ascii="Calibri" w:hAnsi="Calibri"/>
      <w:sz w:val="22"/>
      <w:szCs w:val="20"/>
    </w:rPr>
  </w:style>
  <w:style w:type="character" w:customStyle="1" w:styleId="228">
    <w:name w:val="样式 正文缩进表正文正文非缩进特点段1正文不缩进ALT+Z特点标题四号正文（段落文字）Justifiedp...1 Char"/>
    <w:qFormat/>
    <w:uiPriority w:val="0"/>
    <w:rPr>
      <w:rFonts w:ascii="仿宋_GB2312" w:hAnsi="仿宋_GB2312" w:eastAsia="仿宋_GB2312"/>
      <w:color w:val="000000"/>
      <w:sz w:val="24"/>
      <w:lang w:val="en-US" w:eastAsia="zh-CN"/>
    </w:rPr>
  </w:style>
  <w:style w:type="character" w:customStyle="1" w:styleId="229">
    <w:name w:val="Plain Text Char"/>
    <w:link w:val="230"/>
    <w:qFormat/>
    <w:uiPriority w:val="0"/>
    <w:rPr>
      <w:rFonts w:ascii="宋体" w:hAnsi="Courier New" w:eastAsia="楷体_GB2312"/>
      <w:sz w:val="28"/>
    </w:rPr>
  </w:style>
  <w:style w:type="paragraph" w:customStyle="1" w:styleId="230">
    <w:name w:val="纯文本1"/>
    <w:basedOn w:val="1"/>
    <w:link w:val="229"/>
    <w:qFormat/>
    <w:uiPriority w:val="0"/>
    <w:rPr>
      <w:rFonts w:ascii="宋体" w:hAnsi="Courier New" w:eastAsia="楷体_GB2312"/>
      <w:sz w:val="28"/>
      <w:szCs w:val="20"/>
    </w:rPr>
  </w:style>
  <w:style w:type="character" w:customStyle="1" w:styleId="231">
    <w:name w:val="font21"/>
    <w:qFormat/>
    <w:uiPriority w:val="0"/>
    <w:rPr>
      <w:rFonts w:hint="default" w:ascii="Times New Roman" w:hAnsi="Times New Roman" w:cs="Times New Roman"/>
      <w:color w:val="FF0000"/>
      <w:sz w:val="24"/>
      <w:szCs w:val="24"/>
      <w:u w:val="none"/>
    </w:rPr>
  </w:style>
  <w:style w:type="character" w:customStyle="1" w:styleId="232">
    <w:name w:val="正文缩进 Char"/>
    <w:qFormat/>
    <w:uiPriority w:val="0"/>
    <w:rPr>
      <w:rFonts w:eastAsia="楷体_GB2312"/>
      <w:sz w:val="24"/>
      <w:lang w:val="en-US" w:eastAsia="zh-CN" w:bidi="ar-SA"/>
    </w:rPr>
  </w:style>
  <w:style w:type="character" w:customStyle="1" w:styleId="233">
    <w:name w:val="NormalCharacter"/>
    <w:qFormat/>
    <w:uiPriority w:val="99"/>
    <w:rPr>
      <w:rFonts w:ascii="Calibri" w:hAnsi="Calibri" w:eastAsia="宋体"/>
    </w:rPr>
  </w:style>
  <w:style w:type="character" w:customStyle="1" w:styleId="234">
    <w:name w:val="Body text|1_"/>
    <w:basedOn w:val="45"/>
    <w:link w:val="235"/>
    <w:qFormat/>
    <w:uiPriority w:val="0"/>
    <w:rPr>
      <w:rFonts w:ascii="宋体" w:hAnsi="宋体" w:eastAsia="宋体" w:cs="宋体"/>
      <w:sz w:val="22"/>
      <w:szCs w:val="22"/>
      <w:lang w:val="zh-TW" w:eastAsia="zh-TW" w:bidi="zh-TW"/>
    </w:rPr>
  </w:style>
  <w:style w:type="paragraph" w:customStyle="1" w:styleId="235">
    <w:name w:val="Body text|1"/>
    <w:basedOn w:val="1"/>
    <w:link w:val="234"/>
    <w:qFormat/>
    <w:uiPriority w:val="0"/>
    <w:pPr>
      <w:spacing w:line="425" w:lineRule="auto"/>
      <w:ind w:firstLine="400"/>
      <w:jc w:val="left"/>
    </w:pPr>
    <w:rPr>
      <w:rFonts w:ascii="宋体" w:hAnsi="宋体" w:cs="宋体"/>
      <w:sz w:val="22"/>
      <w:szCs w:val="22"/>
      <w:lang w:val="zh-TW" w:eastAsia="zh-TW" w:bidi="zh-TW"/>
    </w:rPr>
  </w:style>
  <w:style w:type="paragraph" w:styleId="236">
    <w:name w:val="List Paragraph"/>
    <w:basedOn w:val="1"/>
    <w:qFormat/>
    <w:uiPriority w:val="34"/>
    <w:pPr>
      <w:ind w:firstLine="420"/>
    </w:pPr>
    <w:rPr>
      <w:rFonts w:ascii="Calibri" w:hAnsi="Calibri"/>
      <w:szCs w:val="20"/>
    </w:rPr>
  </w:style>
  <w:style w:type="paragraph" w:customStyle="1" w:styleId="237">
    <w:name w:val="正文 A"/>
    <w:qFormat/>
    <w:uiPriority w:val="0"/>
    <w:pPr>
      <w:widowControl w:val="0"/>
      <w:pBdr>
        <w:top w:val="none" w:color="FFFFFF" w:sz="0" w:space="31"/>
        <w:left w:val="none" w:color="FFFFFF" w:sz="0" w:space="31"/>
        <w:bottom w:val="none" w:color="FFFFFF" w:sz="0" w:space="31"/>
        <w:right w:val="none" w:color="FFFFFF" w:sz="0" w:space="31"/>
      </w:pBdr>
      <w:jc w:val="both"/>
    </w:pPr>
    <w:rPr>
      <w:rFonts w:ascii="Times New Roman" w:hAnsi="Times New Roman" w:eastAsia="宋体" w:cs="Times New Roman"/>
      <w:color w:val="000000"/>
      <w:sz w:val="21"/>
      <w:szCs w:val="21"/>
      <w:lang w:val="en-US" w:eastAsia="zh-CN" w:bidi="ar-SA"/>
    </w:rPr>
  </w:style>
  <w:style w:type="paragraph" w:customStyle="1" w:styleId="238">
    <w:name w:val="WPSOffice手动目录 1"/>
    <w:qFormat/>
    <w:uiPriority w:val="0"/>
    <w:rPr>
      <w:rFonts w:ascii="Times New Roman" w:hAnsi="Times New Roman" w:eastAsia="宋体" w:cs="Times New Roman"/>
      <w:lang w:val="en-US" w:eastAsia="zh-CN" w:bidi="ar-SA"/>
    </w:rPr>
  </w:style>
  <w:style w:type="paragraph" w:customStyle="1" w:styleId="239">
    <w:name w:val="标题3"/>
    <w:basedOn w:val="1"/>
    <w:qFormat/>
    <w:uiPriority w:val="0"/>
    <w:pPr>
      <w:spacing w:line="300" w:lineRule="auto"/>
    </w:pPr>
    <w:rPr>
      <w:rFonts w:ascii="宋体" w:hAnsi="宋体"/>
      <w:b/>
      <w:sz w:val="28"/>
    </w:rPr>
  </w:style>
  <w:style w:type="paragraph" w:customStyle="1" w:styleId="240">
    <w:name w:val="纯文本11"/>
    <w:basedOn w:val="1"/>
    <w:qFormat/>
    <w:uiPriority w:val="0"/>
    <w:rPr>
      <w:rFonts w:ascii="宋体" w:hAnsi="Courier New" w:eastAsia="楷体_GB2312"/>
      <w:sz w:val="26"/>
    </w:rPr>
  </w:style>
  <w:style w:type="paragraph" w:customStyle="1" w:styleId="241">
    <w:name w:val="p0"/>
    <w:basedOn w:val="1"/>
    <w:qFormat/>
    <w:uiPriority w:val="0"/>
    <w:pPr>
      <w:widowControl/>
    </w:pPr>
    <w:rPr>
      <w:sz w:val="26"/>
      <w:szCs w:val="26"/>
    </w:rPr>
  </w:style>
  <w:style w:type="paragraph" w:customStyle="1" w:styleId="242">
    <w:name w:val="_Style 77"/>
    <w:unhideWhenUsed/>
    <w:qFormat/>
    <w:uiPriority w:val="99"/>
    <w:rPr>
      <w:rFonts w:ascii="Times New Roman" w:hAnsi="Times New Roman" w:eastAsia="宋体" w:cs="Times New Roman"/>
      <w:sz w:val="21"/>
      <w:szCs w:val="24"/>
      <w:lang w:val="en-US" w:eastAsia="zh-CN" w:bidi="ar-SA"/>
    </w:rPr>
  </w:style>
  <w:style w:type="paragraph" w:customStyle="1" w:styleId="243">
    <w:name w:val="纯文本2"/>
    <w:basedOn w:val="1"/>
    <w:qFormat/>
    <w:uiPriority w:val="0"/>
    <w:rPr>
      <w:rFonts w:ascii="宋体" w:hAnsi="Courier New"/>
      <w:sz w:val="26"/>
      <w:szCs w:val="20"/>
    </w:rPr>
  </w:style>
  <w:style w:type="paragraph" w:customStyle="1" w:styleId="244">
    <w:name w:val="_Style 30"/>
    <w:basedOn w:val="1"/>
    <w:next w:val="21"/>
    <w:qFormat/>
    <w:uiPriority w:val="0"/>
    <w:rPr>
      <w:rFonts w:ascii="宋体" w:hAnsi="Courier New"/>
    </w:rPr>
  </w:style>
  <w:style w:type="paragraph" w:customStyle="1" w:styleId="245">
    <w:name w:val="纯文本21"/>
    <w:basedOn w:val="1"/>
    <w:qFormat/>
    <w:uiPriority w:val="0"/>
    <w:rPr>
      <w:rFonts w:ascii="宋体" w:hAnsi="Courier New"/>
      <w:sz w:val="28"/>
    </w:rPr>
  </w:style>
  <w:style w:type="paragraph" w:customStyle="1" w:styleId="246">
    <w:name w:val="纯文本3"/>
    <w:basedOn w:val="1"/>
    <w:qFormat/>
    <w:uiPriority w:val="0"/>
    <w:rPr>
      <w:rFonts w:ascii="宋体" w:hAnsi="Courier New"/>
    </w:rPr>
  </w:style>
  <w:style w:type="paragraph" w:customStyle="1" w:styleId="247">
    <w:name w:val="正文1"/>
    <w:basedOn w:val="1"/>
    <w:next w:val="1"/>
    <w:qFormat/>
    <w:uiPriority w:val="0"/>
    <w:pPr>
      <w:spacing w:before="120" w:line="360" w:lineRule="auto"/>
      <w:ind w:left="420" w:firstLine="527"/>
    </w:pPr>
    <w:rPr>
      <w:rFonts w:ascii="宋体" w:hAnsi="宋体"/>
    </w:rPr>
  </w:style>
  <w:style w:type="paragraph" w:customStyle="1" w:styleId="248">
    <w:name w:val="列出段落11"/>
    <w:basedOn w:val="1"/>
    <w:qFormat/>
    <w:uiPriority w:val="0"/>
    <w:pPr>
      <w:ind w:firstLine="420"/>
    </w:pPr>
    <w:rPr>
      <w:rFonts w:ascii="Calibri" w:hAnsi="Calibri"/>
    </w:rPr>
  </w:style>
  <w:style w:type="paragraph" w:customStyle="1" w:styleId="249">
    <w:name w:val="+正文"/>
    <w:basedOn w:val="1"/>
    <w:qFormat/>
    <w:uiPriority w:val="0"/>
    <w:pPr>
      <w:spacing w:line="360" w:lineRule="auto"/>
      <w:ind w:firstLine="200"/>
    </w:pPr>
    <w:rPr>
      <w:rFonts w:ascii="宋体" w:hAnsi="宋体"/>
      <w:sz w:val="24"/>
      <w:szCs w:val="28"/>
    </w:rPr>
  </w:style>
  <w:style w:type="paragraph" w:customStyle="1" w:styleId="250">
    <w:name w:val="List Paragraph1"/>
    <w:basedOn w:val="1"/>
    <w:qFormat/>
    <w:uiPriority w:val="0"/>
    <w:pPr>
      <w:ind w:firstLine="420"/>
    </w:pPr>
    <w:rPr>
      <w:rFonts w:ascii="Calibri" w:hAnsi="Calibri"/>
      <w:szCs w:val="22"/>
    </w:rPr>
  </w:style>
  <w:style w:type="paragraph" w:customStyle="1" w:styleId="251">
    <w:name w:val="_正文段落"/>
    <w:basedOn w:val="1"/>
    <w:qFormat/>
    <w:uiPriority w:val="0"/>
    <w:pPr>
      <w:spacing w:line="360" w:lineRule="auto"/>
      <w:ind w:firstLine="480"/>
    </w:pPr>
    <w:rPr>
      <w:rFonts w:ascii="宋体" w:hAnsi="宋体"/>
      <w:sz w:val="24"/>
    </w:rPr>
  </w:style>
  <w:style w:type="paragraph" w:customStyle="1" w:styleId="252">
    <w:name w:val="Char1"/>
    <w:basedOn w:val="1"/>
    <w:qFormat/>
    <w:uiPriority w:val="0"/>
    <w:rPr>
      <w:rFonts w:ascii="Tahoma" w:hAnsi="Tahoma"/>
      <w:sz w:val="24"/>
    </w:rPr>
  </w:style>
  <w:style w:type="paragraph" w:customStyle="1" w:styleId="253">
    <w:name w:val="font7"/>
    <w:basedOn w:val="1"/>
    <w:qFormat/>
    <w:uiPriority w:val="0"/>
    <w:pPr>
      <w:widowControl/>
      <w:spacing w:before="100" w:beforeAutospacing="1" w:after="100" w:afterAutospacing="1"/>
      <w:jc w:val="left"/>
    </w:pPr>
    <w:rPr>
      <w:rFonts w:ascii="Verdana" w:hAnsi="Verdana"/>
      <w:sz w:val="20"/>
      <w:szCs w:val="20"/>
    </w:rPr>
  </w:style>
  <w:style w:type="paragraph" w:customStyle="1" w:styleId="254">
    <w:name w:val="Char Char Char"/>
    <w:basedOn w:val="1"/>
    <w:qFormat/>
    <w:uiPriority w:val="0"/>
    <w:pPr>
      <w:spacing w:line="360" w:lineRule="auto"/>
    </w:pPr>
    <w:rPr>
      <w:sz w:val="28"/>
      <w:szCs w:val="20"/>
    </w:rPr>
  </w:style>
  <w:style w:type="paragraph" w:customStyle="1" w:styleId="255">
    <w:name w:val="Plain Text1"/>
    <w:basedOn w:val="1"/>
    <w:qFormat/>
    <w:uiPriority w:val="99"/>
    <w:rPr>
      <w:rFonts w:hAnsi="Courier New" w:eastAsia="楷体_GB2312"/>
      <w:sz w:val="28"/>
      <w:szCs w:val="20"/>
    </w:rPr>
  </w:style>
  <w:style w:type="paragraph" w:customStyle="1" w:styleId="256">
    <w:name w:val="纯文本4"/>
    <w:basedOn w:val="1"/>
    <w:qFormat/>
    <w:uiPriority w:val="0"/>
    <w:rPr>
      <w:rFonts w:ascii="宋体" w:hAnsi="Courier New" w:eastAsia="楷体_GB2312"/>
      <w:sz w:val="28"/>
    </w:rPr>
  </w:style>
  <w:style w:type="paragraph" w:customStyle="1" w:styleId="257">
    <w:name w:val="表中"/>
    <w:basedOn w:val="1"/>
    <w:qFormat/>
    <w:uiPriority w:val="0"/>
    <w:pPr>
      <w:spacing w:line="360" w:lineRule="atLeast"/>
      <w:jc w:val="center"/>
    </w:pPr>
  </w:style>
  <w:style w:type="paragraph" w:customStyle="1" w:styleId="258">
    <w:name w:val="_Style 93"/>
    <w:basedOn w:val="2"/>
    <w:next w:val="1"/>
    <w:qFormat/>
    <w:uiPriority w:val="39"/>
    <w:pPr>
      <w:keepNext/>
      <w:keepLines/>
      <w:widowControl/>
      <w:spacing w:before="240" w:line="259" w:lineRule="auto"/>
      <w:outlineLvl w:val="9"/>
    </w:pPr>
    <w:rPr>
      <w:rFonts w:ascii="等线 Light" w:hAnsi="等线 Light" w:eastAsia="等线 Light" w:cs="Times New Roman"/>
      <w:b w:val="0"/>
      <w:bCs w:val="0"/>
      <w:color w:val="2F5496"/>
      <w:sz w:val="32"/>
      <w:szCs w:val="32"/>
    </w:rPr>
  </w:style>
  <w:style w:type="paragraph" w:customStyle="1" w:styleId="259">
    <w:name w:val="正文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260">
    <w:name w:val="p17"/>
    <w:basedOn w:val="1"/>
    <w:qFormat/>
    <w:uiPriority w:val="0"/>
    <w:rPr>
      <w:rFonts w:eastAsia="楷体_GB2312"/>
      <w:sz w:val="26"/>
      <w:szCs w:val="26"/>
    </w:rPr>
  </w:style>
  <w:style w:type="paragraph" w:customStyle="1" w:styleId="261">
    <w:name w:val="列出段落2"/>
    <w:basedOn w:val="1"/>
    <w:qFormat/>
    <w:uiPriority w:val="99"/>
    <w:pPr>
      <w:ind w:firstLine="420"/>
    </w:pPr>
    <w:rPr>
      <w:rFonts w:ascii="Calibri" w:hAnsi="Calibri"/>
      <w:szCs w:val="20"/>
    </w:rPr>
  </w:style>
  <w:style w:type="paragraph" w:customStyle="1" w:styleId="262">
    <w:name w:val="Char Char Char Char"/>
    <w:basedOn w:val="1"/>
    <w:qFormat/>
    <w:uiPriority w:val="0"/>
    <w:rPr>
      <w:szCs w:val="20"/>
    </w:rPr>
  </w:style>
  <w:style w:type="table" w:customStyle="1" w:styleId="263">
    <w:name w:val="网格型1"/>
    <w:basedOn w:val="43"/>
    <w:unhideWhenUsed/>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264">
    <w:name w:val="Table Paragraph"/>
    <w:basedOn w:val="1"/>
    <w:qFormat/>
    <w:uiPriority w:val="1"/>
    <w:rPr>
      <w:rFonts w:ascii="宋体" w:hAnsi="宋体" w:cs="宋体"/>
      <w:lang w:val="zh-CN" w:bidi="zh-CN"/>
    </w:rPr>
  </w:style>
  <w:style w:type="paragraph" w:customStyle="1" w:styleId="265">
    <w:name w:val="普通(网站)1"/>
    <w:basedOn w:val="1"/>
    <w:qFormat/>
    <w:uiPriority w:val="0"/>
    <w:pPr>
      <w:widowControl/>
      <w:spacing w:before="100" w:beforeAutospacing="1" w:after="100" w:afterAutospacing="1"/>
      <w:jc w:val="left"/>
    </w:pPr>
    <w:rPr>
      <w:rFonts w:ascii="宋体" w:hAnsi="宋体" w:cs="宋体"/>
      <w:sz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68</Pages>
  <Words>1230</Words>
  <Characters>1401</Characters>
  <Lines>349</Lines>
  <Paragraphs>98</Paragraphs>
  <TotalTime>13</TotalTime>
  <ScaleCrop>false</ScaleCrop>
  <LinksUpToDate>false</LinksUpToDate>
  <CharactersWithSpaces>1474</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2022-03-03T07:29:00Z</dcterms:created>
  <dc:creator>微软用户</dc:creator>
  <cp:lastModifiedBy>王晓品</cp:lastModifiedBy>
  <dcterms:modified xsi:type="dcterms:W3CDTF">2025-11-03T05:51:06Z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ACB81547B67D4C2188BEDB3DD5EC1966_13</vt:lpwstr>
  </property>
  <property fmtid="{D5CDD505-2E9C-101B-9397-08002B2CF9AE}" pid="4" name="KSOTemplateDocerSaveRecord">
    <vt:lpwstr>eyJoZGlkIjoiMzMxZjlmMjQ2N2E2ODhiOTYxYTNlNjZjMmY2OTgzZjkiLCJ1c2VySWQiOiI4MTUxMzkxNzUifQ==</vt:lpwstr>
  </property>
</Properties>
</file>